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zvra20230308b_10q.htm"/>
      <w:bookmarkStart w:id="1" w:name="kszvra20230308b_10q"/>
      <w:bookmarkEnd w:id="0"/>
      <w:bookmarkEnd w:id="1"/>
      <w:r>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rFonts w:ascii="Times New Roman" w:hAnsi="Times New Roman"/>
          <w:b/>
          <w:color w:val="000000"/>
          <w:sz w:val="36"/>
        </w:rPr>
      </w:pPr>
      <w:r>
        <w:rPr>
          <w:rFonts w:ascii="Times New Roman" w:hAnsi="Times New Roman"/>
          <w:b/>
          <w:color w:val="000000"/>
          <w:sz w:val="36"/>
        </w:rPr>
        <w:t>UNITED STATES</w:t>
      </w:r>
    </w:p>
    <w:p>
      <w:pPr>
        <w:pStyle w:val="TextBody"/>
        <w:bidi w:val="0"/>
        <w:spacing w:before="0" w:after="0"/>
        <w:ind w:left="0" w:right="0" w:hanging="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sz w:val="36"/>
        </w:rPr>
      </w:pPr>
      <w:r>
        <w:rPr>
          <w:rFonts w:ascii="Times New Roman" w:hAnsi="Times New Roman"/>
          <w:b/>
          <w:sz w:val="36"/>
        </w:rPr>
        <w:t>FORM 10-Q</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(Mark One)</w:t>
      </w:r>
    </w:p>
    <w:tbl>
      <w:tblPr>
        <w:tblW w:w="10105" w:type="dxa"/>
        <w:jc w:val="left"/>
        <w:tblInd w:w="0" w:type="dxa"/>
        <w:tblLayout w:type="fixed"/>
        <w:tblCellMar>
          <w:top w:w="0" w:type="dxa"/>
          <w:left w:w="0" w:type="dxa"/>
          <w:bottom w:w="0" w:type="dxa"/>
          <w:right w:w="0" w:type="dxa"/>
        </w:tblCellMar>
      </w:tblPr>
      <w:tblGrid>
        <w:gridCol w:w="230"/>
        <w:gridCol w:w="9875"/>
      </w:tblGrid>
      <w:tr>
        <w:trPr/>
        <w:tc>
          <w:tcPr>
            <w:tcW w:w="230" w:type="dxa"/>
            <w:tcBorders/>
            <w:vAlign w:val="center"/>
          </w:tcPr>
          <w:p>
            <w:pPr>
              <w:pStyle w:val="TableContents"/>
              <w:bidi w:val="0"/>
              <w:spacing w:before="0" w:after="0"/>
              <w:ind w:left="0" w:right="0" w:hanging="0"/>
              <w:jc w:val="left"/>
              <w:rPr/>
            </w:pPr>
            <w:r>
              <w:rPr/>
              <w:t>☒</w:t>
            </w:r>
          </w:p>
        </w:tc>
        <w:tc>
          <w:tcPr>
            <w:tcW w:w="987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March 31, 2023</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0"/>
        <w:ind w:left="0" w:right="0" w:hanging="0"/>
        <w:jc w:val="left"/>
        <w:rPr/>
      </w:pPr>
      <w:r>
        <w:rPr/>
        <w:t> </w:t>
      </w:r>
    </w:p>
    <w:tbl>
      <w:tblPr>
        <w:tblW w:w="10090" w:type="dxa"/>
        <w:jc w:val="left"/>
        <w:tblInd w:w="0" w:type="dxa"/>
        <w:tblLayout w:type="fixed"/>
        <w:tblCellMar>
          <w:top w:w="0" w:type="dxa"/>
          <w:left w:w="0" w:type="dxa"/>
          <w:bottom w:w="0" w:type="dxa"/>
          <w:right w:w="0" w:type="dxa"/>
        </w:tblCellMar>
      </w:tblPr>
      <w:tblGrid>
        <w:gridCol w:w="230"/>
        <w:gridCol w:w="9860"/>
      </w:tblGrid>
      <w:tr>
        <w:trPr/>
        <w:tc>
          <w:tcPr>
            <w:tcW w:w="230" w:type="dxa"/>
            <w:tcBorders/>
            <w:vAlign w:val="center"/>
          </w:tcPr>
          <w:p>
            <w:pPr>
              <w:pStyle w:val="TableContents"/>
              <w:bidi w:val="0"/>
              <w:spacing w:before="0" w:after="0"/>
              <w:ind w:left="0" w:right="0" w:hanging="0"/>
              <w:jc w:val="left"/>
              <w:rPr/>
            </w:pPr>
            <w:r>
              <w:rPr/>
              <w:t>☐</w:t>
            </w:r>
          </w:p>
        </w:tc>
        <w:tc>
          <w:tcPr>
            <w:tcW w:w="986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 xml:space="preserve">For the Transition Period From </w:t>
      </w:r>
      <w:r>
        <w:rPr>
          <w:rFonts w:ascii="Times New Roman;Times;serif" w:hAnsi="Times New Roman;Times;serif"/>
          <w:sz w:val="20"/>
          <w:u w:val="single"/>
        </w:rPr>
        <w:t>                      </w:t>
      </w:r>
      <w:r>
        <w:rPr>
          <w:rFonts w:ascii="Times New Roman;Times;serif" w:hAnsi="Times New Roman;Times;serif"/>
          <w:sz w:val="20"/>
        </w:rPr>
        <w:t xml:space="preserve"> </w:t>
      </w:r>
      <w:r>
        <w:rPr>
          <w:rFonts w:ascii="Times New Roman;Times;serif" w:hAnsi="Times New Roman;Times;serif"/>
          <w:b/>
          <w:sz w:val="20"/>
        </w:rPr>
        <w:t>to</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No. 001-36913</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160" w:right="0" w:hanging="0"/>
        <w:jc w:val="center"/>
        <w:rPr>
          <w:rFonts w:ascii="Times New Roman" w:hAnsi="Times New Roman"/>
          <w:b/>
          <w:caps w:val="false"/>
          <w:smallCaps w:val="false"/>
          <w:sz w:val="48"/>
        </w:rPr>
      </w:pPr>
      <w:r>
        <w:rPr>
          <w:rFonts w:ascii="Times New Roman" w:hAnsi="Times New Roman"/>
          <w:b/>
          <w:caps w:val="false"/>
          <w:smallCaps w:val="false"/>
          <w:sz w:val="48"/>
        </w:rPr>
        <w:t>Zevra Therapeutics, Inc.</w:t>
      </w:r>
    </w:p>
    <w:p>
      <w:pPr>
        <w:pStyle w:val="TextBody"/>
        <w:bidi w:val="0"/>
        <w:spacing w:before="0" w:after="0"/>
        <w:ind w:left="150" w:right="15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0"/>
        <w:ind w:left="150" w:right="15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150" w:right="150" w:hanging="0"/>
        <w:jc w:val="center"/>
        <w:rPr/>
      </w:pPr>
      <w:r>
        <w:rPr/>
        <w:t> </w:t>
      </w:r>
    </w:p>
    <w:tbl>
      <w:tblPr>
        <w:tblW w:w="8350" w:type="dxa"/>
        <w:jc w:val="left"/>
        <w:tblInd w:w="0" w:type="dxa"/>
        <w:tblLayout w:type="fixed"/>
        <w:tblCellMar>
          <w:top w:w="0" w:type="dxa"/>
          <w:left w:w="0" w:type="dxa"/>
          <w:bottom w:w="0" w:type="dxa"/>
          <w:right w:w="0" w:type="dxa"/>
        </w:tblCellMar>
      </w:tblPr>
      <w:tblGrid>
        <w:gridCol w:w="5285"/>
        <w:gridCol w:w="60"/>
        <w:gridCol w:w="3005"/>
      </w:tblGrid>
      <w:tr>
        <w:trPr/>
        <w:tc>
          <w:tcPr>
            <w:tcW w:w="5285"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60" w:type="dxa"/>
            <w:tcBorders/>
            <w:vAlign w:val="center"/>
          </w:tcPr>
          <w:p>
            <w:pPr>
              <w:pStyle w:val="TableContents"/>
              <w:bidi w:val="0"/>
              <w:spacing w:before="0" w:after="0"/>
              <w:ind w:left="0" w:right="0" w:hanging="0"/>
              <w:jc w:val="center"/>
              <w:rPr/>
            </w:pPr>
            <w:r>
              <w:rPr/>
              <w:t> </w:t>
            </w:r>
          </w:p>
        </w:tc>
        <w:tc>
          <w:tcPr>
            <w:tcW w:w="3005"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20-5894398</w:t>
            </w:r>
          </w:p>
        </w:tc>
      </w:tr>
      <w:tr>
        <w:trPr/>
        <w:tc>
          <w:tcPr>
            <w:tcW w:w="528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(State or Other Jurisdiction of</w:t>
            </w:r>
            <w:r>
              <w:rPr>
                <w:rFonts w:ascii="Times New Roman;Times;serif" w:hAnsi="Times New Roman;Times;serif"/>
                <w:sz w:val="20"/>
              </w:rPr>
              <w:t> </w:t>
            </w:r>
            <w:r>
              <w:rPr>
                <w:rFonts w:ascii="Times New Roman;Times;serif" w:hAnsi="Times New Roman;Times;serif"/>
                <w:b/>
                <w:sz w:val="20"/>
              </w:rPr>
              <w:t>Incorporation or Organization)</w:t>
            </w:r>
          </w:p>
        </w:tc>
        <w:tc>
          <w:tcPr>
            <w:tcW w:w="60" w:type="dxa"/>
            <w:tcBorders/>
            <w:vAlign w:val="center"/>
          </w:tcPr>
          <w:p>
            <w:pPr>
              <w:pStyle w:val="TableContents"/>
              <w:bidi w:val="0"/>
              <w:spacing w:before="0" w:after="0"/>
              <w:ind w:left="0" w:right="0" w:hanging="0"/>
              <w:jc w:val="center"/>
              <w:rPr/>
            </w:pPr>
            <w:r>
              <w:rPr/>
              <w:t> </w:t>
            </w:r>
          </w:p>
        </w:tc>
        <w:tc>
          <w:tcPr>
            <w:tcW w:w="300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(I.R.S. Employer</w:t>
            </w:r>
            <w:r>
              <w:rPr>
                <w:rFonts w:ascii="Times New Roman;Times;serif" w:hAnsi="Times New Roman;Times;serif"/>
                <w:sz w:val="20"/>
              </w:rPr>
              <w:t> </w:t>
            </w:r>
            <w:r>
              <w:rPr>
                <w:rFonts w:ascii="Times New Roman;Times;serif" w:hAnsi="Times New Roman;Times;serif"/>
                <w:b/>
                <w:sz w:val="20"/>
              </w:rPr>
              <w:t>Identification No.)</w:t>
            </w:r>
          </w:p>
        </w:tc>
      </w:tr>
      <w:tr>
        <w:trPr/>
        <w:tc>
          <w:tcPr>
            <w:tcW w:w="5285" w:type="dxa"/>
            <w:tcBorders/>
            <w:vAlign w:val="center"/>
          </w:tcPr>
          <w:p>
            <w:pPr>
              <w:pStyle w:val="TableContents"/>
              <w:bidi w:val="0"/>
              <w:spacing w:before="0" w:after="0"/>
              <w:ind w:left="0" w:right="0" w:hanging="0"/>
              <w:jc w:val="center"/>
              <w:rPr/>
            </w:pPr>
            <w:r>
              <w:rPr/>
              <w:t> </w:t>
            </w:r>
          </w:p>
        </w:tc>
        <w:tc>
          <w:tcPr>
            <w:tcW w:w="60" w:type="dxa"/>
            <w:tcBorders/>
            <w:vAlign w:val="center"/>
          </w:tcPr>
          <w:p>
            <w:pPr>
              <w:pStyle w:val="TableContents"/>
              <w:bidi w:val="0"/>
              <w:spacing w:before="0" w:after="0"/>
              <w:ind w:left="0" w:right="0" w:hanging="0"/>
              <w:jc w:val="center"/>
              <w:rPr/>
            </w:pPr>
            <w:r>
              <w:rPr/>
              <w:t> </w:t>
            </w:r>
          </w:p>
        </w:tc>
        <w:tc>
          <w:tcPr>
            <w:tcW w:w="3005" w:type="dxa"/>
            <w:tcBorders/>
            <w:vAlign w:val="center"/>
          </w:tcPr>
          <w:p>
            <w:pPr>
              <w:pStyle w:val="TableContents"/>
              <w:bidi w:val="0"/>
              <w:spacing w:before="0" w:after="0"/>
              <w:ind w:left="0" w:right="0" w:hanging="0"/>
              <w:jc w:val="center"/>
              <w:rPr/>
            </w:pPr>
            <w:r>
              <w:rPr/>
              <w:t> </w:t>
            </w:r>
          </w:p>
        </w:tc>
      </w:tr>
      <w:tr>
        <w:trPr/>
        <w:tc>
          <w:tcPr>
            <w:tcW w:w="5285"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1180 Celebration Boulevard, Suite 103, Celebration, FL</w:t>
            </w:r>
          </w:p>
        </w:tc>
        <w:tc>
          <w:tcPr>
            <w:tcW w:w="60" w:type="dxa"/>
            <w:tcBorders/>
            <w:vAlign w:val="center"/>
          </w:tcPr>
          <w:p>
            <w:pPr>
              <w:pStyle w:val="TableContents"/>
              <w:bidi w:val="0"/>
              <w:spacing w:before="0" w:after="0"/>
              <w:ind w:left="0" w:right="0" w:hanging="0"/>
              <w:jc w:val="center"/>
              <w:rPr/>
            </w:pPr>
            <w:r>
              <w:rPr/>
              <w:t> </w:t>
            </w:r>
          </w:p>
        </w:tc>
        <w:tc>
          <w:tcPr>
            <w:tcW w:w="3005"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34747</w:t>
            </w:r>
          </w:p>
        </w:tc>
      </w:tr>
      <w:tr>
        <w:trPr/>
        <w:tc>
          <w:tcPr>
            <w:tcW w:w="5285"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60" w:type="dxa"/>
            <w:tcBorders/>
            <w:vAlign w:val="center"/>
          </w:tcPr>
          <w:p>
            <w:pPr>
              <w:pStyle w:val="TableContents"/>
              <w:bidi w:val="0"/>
              <w:spacing w:before="0" w:after="0"/>
              <w:ind w:left="0" w:right="0" w:hanging="0"/>
              <w:jc w:val="center"/>
              <w:rPr/>
            </w:pPr>
            <w:r>
              <w:rPr/>
              <w:t> </w:t>
            </w:r>
          </w:p>
        </w:tc>
        <w:tc>
          <w:tcPr>
            <w:tcW w:w="3005"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(Zip Code)</w:t>
            </w:r>
          </w:p>
        </w:tc>
      </w:tr>
    </w:tbl>
    <w:p>
      <w:pPr>
        <w:pStyle w:val="TextBody"/>
        <w:shd w:fill="FFFFFF" w:val="clear"/>
        <w:bidi w:val="0"/>
        <w:spacing w:before="0" w:after="0"/>
        <w:ind w:left="0" w:right="0" w:hanging="0"/>
        <w:jc w:val="left"/>
        <w:rPr>
          <w:color w:val="000000"/>
        </w:rPr>
      </w:pPr>
      <w:r>
        <w:rPr>
          <w:color w:val="000000"/>
        </w:rPr>
        <w:t> </w:t>
      </w:r>
    </w:p>
    <w:tbl>
      <w:tblPr>
        <w:tblW w:w="9050" w:type="dxa"/>
        <w:jc w:val="left"/>
        <w:tblInd w:w="0" w:type="dxa"/>
        <w:tblLayout w:type="fixed"/>
        <w:tblCellMar>
          <w:top w:w="0" w:type="dxa"/>
          <w:left w:w="0" w:type="dxa"/>
          <w:bottom w:w="0" w:type="dxa"/>
          <w:right w:w="0" w:type="dxa"/>
        </w:tblCellMar>
      </w:tblPr>
      <w:tblGrid>
        <w:gridCol w:w="9050"/>
      </w:tblGrid>
      <w:tr>
        <w:trPr/>
        <w:tc>
          <w:tcPr>
            <w:tcW w:w="9050" w:type="dxa"/>
            <w:tcBorders/>
            <w:vAlign w:val="center"/>
          </w:tcPr>
          <w:p>
            <w:pPr>
              <w:pStyle w:val="TableContents"/>
              <w:bidi w:val="0"/>
              <w:spacing w:before="0" w:after="283"/>
              <w:ind w:left="0" w:right="0" w:hanging="0"/>
              <w:jc w:val="center"/>
              <w:rPr>
                <w:rFonts w:ascii="Times New Roman;Times;serif" w:hAnsi="Times New Roman;Times;serif"/>
                <w:b/>
                <w:sz w:val="20"/>
              </w:rPr>
            </w:pPr>
            <w:r>
              <w:rPr>
                <w:rFonts w:ascii="Times New Roman;Times;serif" w:hAnsi="Times New Roman;Times;serif"/>
                <w:b/>
                <w:sz w:val="20"/>
              </w:rPr>
              <w:t>(321) 939-3416</w:t>
            </w:r>
          </w:p>
        </w:tc>
      </w:tr>
      <w:tr>
        <w:trPr/>
        <w:tc>
          <w:tcPr>
            <w:tcW w:w="9050" w:type="dxa"/>
            <w:tcBorders/>
            <w:vAlign w:val="center"/>
          </w:tcPr>
          <w:p>
            <w:pPr>
              <w:pStyle w:val="TableContents"/>
              <w:bidi w:val="0"/>
              <w:spacing w:before="0" w:after="283"/>
              <w:jc w:val="center"/>
              <w:rPr>
                <w:b/>
              </w:rPr>
            </w:pPr>
            <w:r>
              <w:rPr>
                <w:b/>
              </w:rPr>
              <w:t>(Registrant’</w:t>
            </w:r>
            <w:r>
              <w:rPr>
                <w:rFonts w:ascii="Times New Roman;Times;serif" w:hAnsi="Times New Roman;Times;serif"/>
                <w:b/>
                <w:sz w:val="20"/>
              </w:rPr>
              <w:t>s Telephone Number, Including Area Code)</w:t>
            </w:r>
          </w:p>
        </w:tc>
      </w:tr>
      <w:tr>
        <w:trPr/>
        <w:tc>
          <w:tcPr>
            <w:tcW w:w="9050" w:type="dxa"/>
            <w:tcBorders/>
            <w:vAlign w:val="center"/>
          </w:tcPr>
          <w:p>
            <w:pPr>
              <w:pStyle w:val="TableContents"/>
              <w:bidi w:val="0"/>
              <w:spacing w:before="0" w:after="283"/>
              <w:jc w:val="left"/>
              <w:rPr/>
            </w:pPr>
            <w:r>
              <w:rPr/>
              <w:t> </w:t>
            </w:r>
          </w:p>
        </w:tc>
      </w:tr>
      <w:tr>
        <w:trPr/>
        <w:tc>
          <w:tcPr>
            <w:tcW w:w="9050" w:type="dxa"/>
            <w:tcBorders/>
            <w:vAlign w:val="center"/>
          </w:tcPr>
          <w:p>
            <w:pPr>
              <w:pStyle w:val="TableContents"/>
              <w:bidi w:val="0"/>
              <w:spacing w:before="0" w:after="283"/>
              <w:jc w:val="left"/>
              <w:rPr/>
            </w:pPr>
            <w:r>
              <w:rPr/>
              <w:t> </w:t>
            </w:r>
          </w:p>
        </w:tc>
      </w:tr>
      <w:tr>
        <w:trPr/>
        <w:tc>
          <w:tcPr>
            <w:tcW w:w="9050" w:type="dxa"/>
            <w:tcBorders/>
            <w:vAlign w:val="center"/>
          </w:tcPr>
          <w:p>
            <w:pPr>
              <w:pStyle w:val="TableContents"/>
              <w:bidi w:val="0"/>
              <w:spacing w:before="0" w:after="283"/>
              <w:jc w:val="center"/>
              <w:rPr>
                <w:b/>
              </w:rPr>
            </w:pPr>
            <w:r>
              <w:rPr>
                <w:b/>
              </w:rPr>
              <w:t>(Former Name, Former Address, and Former Fiscal Year if Changed Since Last Report)</w:t>
            </w:r>
          </w:p>
        </w:tc>
      </w:tr>
      <w:tr>
        <w:trPr/>
        <w:tc>
          <w:tcPr>
            <w:tcW w:w="9050" w:type="dxa"/>
            <w:tcBorders/>
            <w:vAlign w:val="center"/>
          </w:tcPr>
          <w:p>
            <w:pPr>
              <w:pStyle w:val="TableContents"/>
              <w:bidi w:val="0"/>
              <w:spacing w:before="0" w:after="283"/>
              <w:jc w:val="center"/>
              <w:rPr/>
            </w:pPr>
            <w:r>
              <w:rPr/>
              <w:t> </w:t>
            </w:r>
          </w:p>
        </w:tc>
      </w:tr>
    </w:tbl>
    <w:p>
      <w:pPr>
        <w:pStyle w:val="TextBody"/>
        <w:shd w:fill="FFFFFF" w:val="clear"/>
        <w:bidi w:val="0"/>
        <w:spacing w:before="0" w:after="0"/>
        <w:ind w:left="0" w:right="0" w:hanging="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shd w:fill="FFFFFF" w:val="clear"/>
        <w:bidi w:val="0"/>
        <w:spacing w:before="0" w:after="0"/>
        <w:ind w:left="0" w:right="0" w:hanging="0"/>
        <w:jc w:val="left"/>
        <w:rPr>
          <w:color w:val="000000"/>
        </w:rPr>
      </w:pPr>
      <w:r>
        <w:rPr>
          <w:color w:val="000000"/>
        </w:rPr>
        <w:t> </w:t>
      </w:r>
    </w:p>
    <w:tbl>
      <w:tblPr>
        <w:tblW w:w="10035" w:type="dxa"/>
        <w:jc w:val="left"/>
        <w:tblInd w:w="0" w:type="dxa"/>
        <w:tblLayout w:type="fixed"/>
        <w:tblCellMar>
          <w:top w:w="28" w:type="dxa"/>
          <w:left w:w="28" w:type="dxa"/>
          <w:bottom w:w="0" w:type="dxa"/>
          <w:right w:w="0" w:type="dxa"/>
        </w:tblCellMar>
      </w:tblPr>
      <w:tblGrid>
        <w:gridCol w:w="4250"/>
        <w:gridCol w:w="1565"/>
        <w:gridCol w:w="4220"/>
      </w:tblGrid>
      <w:tr>
        <w:trPr/>
        <w:tc>
          <w:tcPr>
            <w:tcW w:w="4250" w:type="dxa"/>
            <w:tcBorders>
              <w:top w:val="single" w:sz="2" w:space="0" w:color="000000"/>
              <w:left w:val="single" w:sz="2" w:space="0" w:color="000000"/>
            </w:tcBorders>
            <w:vAlign w:val="center"/>
          </w:tcPr>
          <w:p>
            <w:pPr>
              <w:pStyle w:val="TableContents"/>
              <w:bidi w:val="0"/>
              <w:spacing w:before="0" w:after="283"/>
              <w:jc w:val="center"/>
              <w:rPr/>
            </w:pPr>
            <w:r>
              <w:rPr/>
              <w:t>Title of each class</w:t>
            </w:r>
          </w:p>
        </w:tc>
        <w:tc>
          <w:tcPr>
            <w:tcW w:w="1565" w:type="dxa"/>
            <w:tcBorders>
              <w:top w:val="single" w:sz="2" w:space="0" w:color="000000"/>
              <w:left w:val="single" w:sz="2" w:space="0" w:color="000000"/>
            </w:tcBorders>
            <w:vAlign w:val="center"/>
          </w:tcPr>
          <w:p>
            <w:pPr>
              <w:pStyle w:val="TableContents"/>
              <w:bidi w:val="0"/>
              <w:spacing w:before="0" w:after="283"/>
              <w:jc w:val="center"/>
              <w:rPr/>
            </w:pPr>
            <w:r>
              <w:rPr/>
              <w:t>Trading Symbol</w:t>
            </w:r>
          </w:p>
        </w:tc>
        <w:tc>
          <w:tcPr>
            <w:tcW w:w="4220"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283"/>
              <w:jc w:val="center"/>
              <w:rPr/>
            </w:pPr>
            <w:r>
              <w:rPr/>
              <w:t>Name of each exchange on which registered</w:t>
            </w:r>
          </w:p>
        </w:tc>
      </w:tr>
      <w:tr>
        <w:trPr/>
        <w:tc>
          <w:tcPr>
            <w:tcW w:w="4250" w:type="dxa"/>
            <w:tcBorders>
              <w:top w:val="single" w:sz="2" w:space="0" w:color="000000"/>
              <w:left w:val="single" w:sz="2" w:space="0" w:color="000000"/>
              <w:bottom w:val="single" w:sz="2" w:space="0" w:color="000000"/>
            </w:tcBorders>
            <w:tcMar>
              <w:bottom w:w="28" w:type="dxa"/>
            </w:tcMar>
            <w:vAlign w:val="center"/>
          </w:tcPr>
          <w:p>
            <w:pPr>
              <w:pStyle w:val="TableContents"/>
              <w:bidi w:val="0"/>
              <w:spacing w:before="0" w:after="283"/>
              <w:jc w:val="center"/>
              <w:rPr/>
            </w:pPr>
            <w:r>
              <w:rPr/>
              <w:t>Common Stock, $0.0001 par value per share</w:t>
            </w:r>
          </w:p>
        </w:tc>
        <w:tc>
          <w:tcPr>
            <w:tcW w:w="1565" w:type="dxa"/>
            <w:tcBorders>
              <w:top w:val="single" w:sz="2" w:space="0" w:color="000000"/>
              <w:left w:val="single" w:sz="2" w:space="0" w:color="000000"/>
              <w:bottom w:val="single" w:sz="2" w:space="0" w:color="000000"/>
            </w:tcBorders>
            <w:tcMar>
              <w:bottom w:w="28" w:type="dxa"/>
            </w:tcMar>
            <w:vAlign w:val="center"/>
          </w:tcPr>
          <w:p>
            <w:pPr>
              <w:pStyle w:val="TableContents"/>
              <w:bidi w:val="0"/>
              <w:spacing w:before="0" w:after="283"/>
              <w:jc w:val="center"/>
              <w:rPr/>
            </w:pPr>
            <w:r>
              <w:rPr/>
              <w:t>ZVRA</w:t>
            </w:r>
          </w:p>
        </w:tc>
        <w:tc>
          <w:tcPr>
            <w:tcW w:w="4220" w:type="dxa"/>
            <w:tcBorders>
              <w:top w:val="single" w:sz="2" w:space="0" w:color="000000"/>
              <w:left w:val="single" w:sz="2" w:space="0" w:color="000000"/>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Stock Market LLC</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hd w:fill="FFFFFF" w:val="clear"/>
        <w:bidi w:val="0"/>
        <w:spacing w:before="0" w:after="0"/>
        <w:ind w:left="0" w:right="0" w:hanging="0"/>
        <w:jc w:val="left"/>
        <w:rPr>
          <w:color w:val="000000"/>
        </w:rPr>
      </w:pPr>
      <w:r>
        <w:rPr>
          <w:color w:val="000000"/>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     No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ind w:left="0" w:right="0" w:hanging="0"/>
        <w:jc w:val="left"/>
        <w:rPr/>
      </w:pPr>
      <w:r>
        <w:rPr/>
        <w:t> </w:t>
      </w:r>
    </w:p>
    <w:tbl>
      <w:tblPr>
        <w:tblW w:w="4505" w:type="dxa"/>
        <w:jc w:val="left"/>
        <w:tblInd w:w="0" w:type="dxa"/>
        <w:tblLayout w:type="fixed"/>
        <w:tblCellMar>
          <w:top w:w="0" w:type="dxa"/>
          <w:left w:w="0" w:type="dxa"/>
          <w:bottom w:w="0" w:type="dxa"/>
          <w:right w:w="0" w:type="dxa"/>
        </w:tblCellMar>
      </w:tblPr>
      <w:tblGrid>
        <w:gridCol w:w="1820"/>
        <w:gridCol w:w="230"/>
        <w:gridCol w:w="2225"/>
        <w:gridCol w:w="230"/>
      </w:tblGrid>
      <w:tr>
        <w:trPr/>
        <w:tc>
          <w:tcPr>
            <w:tcW w:w="18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before="0" w:after="0"/>
              <w:ind w:left="0" w:right="0" w:hanging="0"/>
              <w:jc w:val="left"/>
              <w:rPr/>
            </w:pPr>
            <w:r>
              <w:rPr/>
              <w:t>☐</w:t>
            </w:r>
          </w:p>
        </w:tc>
        <w:tc>
          <w:tcPr>
            <w:tcW w:w="22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     </w:t>
            </w:r>
          </w:p>
        </w:tc>
        <w:tc>
          <w:tcPr>
            <w:tcW w:w="230" w:type="dxa"/>
            <w:tcBorders/>
            <w:vAlign w:val="center"/>
          </w:tcPr>
          <w:p>
            <w:pPr>
              <w:pStyle w:val="TableContents"/>
              <w:bidi w:val="0"/>
              <w:spacing w:before="0" w:after="0"/>
              <w:ind w:left="0" w:right="0" w:hanging="0"/>
              <w:jc w:val="left"/>
              <w:rPr/>
            </w:pPr>
            <w:r>
              <w:rPr/>
              <w:t>☐</w:t>
            </w:r>
          </w:p>
        </w:tc>
      </w:tr>
      <w:tr>
        <w:trPr/>
        <w:tc>
          <w:tcPr>
            <w:tcW w:w="18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w:t>
            </w:r>
          </w:p>
        </w:tc>
        <w:tc>
          <w:tcPr>
            <w:tcW w:w="230" w:type="dxa"/>
            <w:tcBorders/>
            <w:vAlign w:val="center"/>
          </w:tcPr>
          <w:p>
            <w:pPr>
              <w:pStyle w:val="TableContents"/>
              <w:bidi w:val="0"/>
              <w:spacing w:before="0" w:after="0"/>
              <w:ind w:left="0" w:right="0" w:hanging="0"/>
              <w:jc w:val="left"/>
              <w:rPr/>
            </w:pPr>
            <w:r>
              <w:rPr/>
              <w:t>☒</w:t>
            </w:r>
          </w:p>
        </w:tc>
      </w:tr>
      <w:tr>
        <w:trPr/>
        <w:tc>
          <w:tcPr>
            <w:tcW w:w="1820"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22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w:t>
            </w:r>
          </w:p>
        </w:tc>
        <w:tc>
          <w:tcPr>
            <w:tcW w:w="230"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hd w:fill="FFFFFF" w:val="clear"/>
        <w:bidi w:val="0"/>
        <w:spacing w:before="0" w:after="0"/>
        <w:ind w:left="0" w:right="0" w:firstLine="400"/>
        <w:jc w:val="both"/>
        <w:rPr/>
      </w:pPr>
      <w:r>
        <w:rPr/>
        <w:t> </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w:t>
      </w:r>
      <w:r>
        <w:rPr>
          <w:rFonts w:ascii="Times New Roman;Times;serif" w:hAnsi="Times New Roman;Times;serif"/>
          <w:sz w:val="20"/>
          <w:shd w:fill="FFFFFF" w:val="clear"/>
        </w:rPr>
        <w:t>f May 8, 2</w:t>
      </w:r>
      <w:r>
        <w:rPr>
          <w:rFonts w:ascii="Times New Roman;Times;serif" w:hAnsi="Times New Roman;Times;serif"/>
          <w:sz w:val="20"/>
        </w:rPr>
        <w:t>023, the registrant had</w:t>
      </w:r>
      <w:r>
        <w:rPr>
          <w:rFonts w:ascii="Times New Roman;Times;serif" w:hAnsi="Times New Roman;Times;serif"/>
          <w:sz w:val="20"/>
          <w:shd w:fill="FFFFFF" w:val="clear"/>
        </w:rPr>
        <w:t xml:space="preserve"> 33,881,804 share</w:t>
      </w:r>
      <w:r>
        <w:rPr>
          <w:rFonts w:ascii="Times New Roman;Times;serif" w:hAnsi="Times New Roman;Times;serif"/>
          <w:sz w:val="20"/>
        </w:rPr>
        <w:t>s of common stock outstanding.</w:t>
      </w:r>
    </w:p>
    <w:p>
      <w:pPr>
        <w:pStyle w:val="TextBody"/>
        <w:bidi w:val="0"/>
        <w:spacing w:before="0" w:after="0"/>
        <w:ind w:left="0" w:right="0" w:hanging="0"/>
        <w:jc w:val="both"/>
        <w:rPr/>
      </w:pPr>
      <w:r>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shd w:fill="FFFFFF" w:val="clear"/>
        <w:bidi w:val="0"/>
        <w:jc w:val="left"/>
        <w:rPr>
          <w:rFonts w:ascii="Times New Roman;Times;serif" w:hAnsi="Times New Roman;Times;serif"/>
          <w:b/>
          <w:color w:val="000000"/>
          <w:sz w:val="20"/>
        </w:rPr>
      </w:pPr>
      <w:bookmarkStart w:id="2" w:name="toc"/>
      <w:bookmarkEnd w:id="2"/>
      <w:r>
        <w:rPr>
          <w:rFonts w:ascii="Times New Roman;Times;serif" w:hAnsi="Times New Roman;Times;serif"/>
          <w:b/>
          <w:color w:val="000000"/>
          <w:sz w:val="20"/>
        </w:rPr>
        <w:t>INDEX</w:t>
      </w:r>
    </w:p>
    <w:p>
      <w:pPr>
        <w:pStyle w:val="TextBody"/>
        <w:shd w:fill="FFFFFF" w:val="clear"/>
        <w:bidi w:val="0"/>
        <w:jc w:val="center"/>
        <w:rPr>
          <w:color w:val="000000"/>
        </w:rPr>
      </w:pPr>
      <w:r>
        <w:rPr>
          <w:color w:val="000000"/>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ZEVRA THERAPEUTICS,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0"/>
        <w:ind w:left="0" w:right="0" w:hanging="0"/>
        <w:jc w:val="center"/>
        <w:rPr/>
      </w:pPr>
      <w:r>
        <w:rPr/>
        <w:t> </w:t>
      </w:r>
    </w:p>
    <w:tbl>
      <w:tblPr>
        <w:tblW w:w="10205" w:type="dxa"/>
        <w:jc w:val="left"/>
        <w:tblInd w:w="0" w:type="dxa"/>
        <w:tblLayout w:type="fixed"/>
        <w:tblCellMar>
          <w:top w:w="0" w:type="dxa"/>
          <w:left w:w="0" w:type="dxa"/>
          <w:bottom w:w="0" w:type="dxa"/>
          <w:right w:w="0" w:type="dxa"/>
        </w:tblCellMar>
      </w:tblPr>
      <w:tblGrid>
        <w:gridCol w:w="631"/>
        <w:gridCol w:w="8878"/>
        <w:gridCol w:w="696"/>
      </w:tblGrid>
      <w:tr>
        <w:trPr/>
        <w:tc>
          <w:tcPr>
            <w:tcW w:w="631" w:type="dxa"/>
            <w:tcBorders/>
            <w:vAlign w:val="center"/>
          </w:tcPr>
          <w:p>
            <w:pPr>
              <w:pStyle w:val="TableContents"/>
              <w:bidi w:val="0"/>
              <w:spacing w:before="0" w:after="283"/>
              <w:jc w:val="left"/>
              <w:rPr/>
            </w:pPr>
            <w:r>
              <w:rPr/>
              <w:t> </w:t>
            </w:r>
          </w:p>
        </w:tc>
        <w:tc>
          <w:tcPr>
            <w:tcW w:w="8878"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center"/>
              <w:rPr>
                <w:b/>
                <w:caps/>
              </w:rPr>
            </w:pPr>
            <w:r>
              <w:rPr>
                <w:b/>
                <w:caps/>
              </w:rPr>
              <w:t>Page</w:t>
            </w:r>
          </w:p>
        </w:tc>
      </w:tr>
      <w:tr>
        <w:trPr/>
        <w:tc>
          <w:tcPr>
            <w:tcW w:w="631" w:type="dxa"/>
            <w:tcBorders/>
            <w:vAlign w:val="center"/>
          </w:tcPr>
          <w:p>
            <w:pPr>
              <w:pStyle w:val="TableContents"/>
              <w:bidi w:val="0"/>
              <w:spacing w:before="0" w:after="283"/>
              <w:jc w:val="left"/>
              <w:rPr/>
            </w:pPr>
            <w:r>
              <w:rPr/>
              <w:t> </w:t>
            </w:r>
          </w:p>
        </w:tc>
        <w:tc>
          <w:tcPr>
            <w:tcW w:w="8878"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r>
      <w:tr>
        <w:trPr/>
        <w:tc>
          <w:tcPr>
            <w:tcW w:w="631" w:type="dxa"/>
            <w:tcBorders/>
            <w:shd w:fill="CCEEFF" w:val="clear"/>
            <w:vAlign w:val="center"/>
          </w:tcPr>
          <w:p>
            <w:pPr>
              <w:pStyle w:val="TableContents"/>
              <w:bidi w:val="0"/>
              <w:spacing w:before="0" w:after="0"/>
              <w:ind w:left="0" w:right="0" w:hanging="0"/>
              <w:jc w:val="left"/>
              <w:rPr/>
            </w:pPr>
            <w:r>
              <w:rPr/>
              <w:t> </w:t>
            </w:r>
          </w:p>
        </w:tc>
        <w:tc>
          <w:tcPr>
            <w:tcW w:w="8878" w:type="dxa"/>
            <w:tcBorders/>
            <w:shd w:fill="CCEEFF" w:val="clear"/>
            <w:vAlign w:val="center"/>
          </w:tcPr>
          <w:p>
            <w:pPr>
              <w:pStyle w:val="TableContents"/>
              <w:bidi w:val="0"/>
              <w:spacing w:before="0" w:after="0"/>
              <w:ind w:left="0" w:right="0" w:hanging="0"/>
              <w:jc w:val="center"/>
              <w:rPr/>
            </w:pPr>
            <w:hyperlink w:anchor="part1">
              <w:r>
                <w:rPr>
                  <w:rStyle w:val="InternetLink"/>
                  <w:rFonts w:ascii="Times New Roman" w:hAnsi="Times New Roman"/>
                  <w:b/>
                  <w:sz w:val="20"/>
                </w:rPr>
                <w:t>PART I — FINANCIAL INFORMATION</w:t>
              </w:r>
            </w:hyperlink>
          </w:p>
        </w:tc>
        <w:tc>
          <w:tcPr>
            <w:tcW w:w="696" w:type="dxa"/>
            <w:tcBorders/>
            <w:shd w:fill="CCEEFF" w:val="clear"/>
            <w:vAlign w:val="center"/>
          </w:tcPr>
          <w:p>
            <w:pPr>
              <w:pStyle w:val="TableContents"/>
              <w:bidi w:val="0"/>
              <w:spacing w:before="0" w:after="0"/>
              <w:ind w:left="0" w:right="0" w:hanging="0"/>
              <w:jc w:val="right"/>
              <w:rPr/>
            </w:pPr>
            <w:r>
              <w:rPr/>
              <w:t> </w:t>
            </w:r>
          </w:p>
        </w:tc>
      </w:tr>
      <w:tr>
        <w:trPr/>
        <w:tc>
          <w:tcPr>
            <w:tcW w:w="631" w:type="dxa"/>
            <w:tcBorders/>
            <w:shd w:fill="FFFFFF" w:val="clear"/>
            <w:vAlign w:val="center"/>
          </w:tcPr>
          <w:p>
            <w:pPr>
              <w:pStyle w:val="TableContents"/>
              <w:bidi w:val="0"/>
              <w:spacing w:before="0" w:after="0"/>
              <w:ind w:left="0" w:right="0" w:hanging="0"/>
              <w:jc w:val="left"/>
              <w:rPr/>
            </w:pPr>
            <w:r>
              <w:rPr/>
              <w:t> </w:t>
            </w:r>
          </w:p>
        </w:tc>
        <w:tc>
          <w:tcPr>
            <w:tcW w:w="8878" w:type="dxa"/>
            <w:tcBorders/>
            <w:shd w:fill="FFFFFF" w:val="clear"/>
            <w:vAlign w:val="center"/>
          </w:tcPr>
          <w:p>
            <w:pPr>
              <w:pStyle w:val="TableContents"/>
              <w:bidi w:val="0"/>
              <w:spacing w:before="0" w:after="0"/>
              <w:ind w:left="0" w:right="0" w:hanging="0"/>
              <w:jc w:val="left"/>
              <w:rPr/>
            </w:pPr>
            <w:r>
              <w:rPr/>
              <w:t> </w:t>
            </w:r>
          </w:p>
        </w:tc>
        <w:tc>
          <w:tcPr>
            <w:tcW w:w="696" w:type="dxa"/>
            <w:tcBorders/>
            <w:shd w:fill="FFFFFF" w:val="clear"/>
            <w:vAlign w:val="center"/>
          </w:tcPr>
          <w:p>
            <w:pPr>
              <w:pStyle w:val="TableContents"/>
              <w:bidi w:val="0"/>
              <w:spacing w:before="0" w:after="0"/>
              <w:ind w:left="0" w:right="0" w:hanging="0"/>
              <w:jc w:val="left"/>
              <w:rPr/>
            </w:pPr>
            <w:r>
              <w:rPr/>
              <w:t> </w:t>
            </w:r>
          </w:p>
        </w:tc>
      </w:tr>
      <w:tr>
        <w:trPr/>
        <w:tc>
          <w:tcPr>
            <w:tcW w:w="631" w:type="dxa"/>
            <w:tcBorders/>
            <w:shd w:fill="CCEEFF" w:val="clear"/>
            <w:vAlign w:val="center"/>
          </w:tcPr>
          <w:p>
            <w:pPr>
              <w:pStyle w:val="TableContents"/>
              <w:bidi w:val="0"/>
              <w:spacing w:before="0" w:after="0"/>
              <w:ind w:left="0" w:right="0" w:hanging="0"/>
              <w:jc w:val="left"/>
              <w:rPr>
                <w:rFonts w:ascii="Times New Roman" w:hAnsi="Times New Roman"/>
                <w:caps/>
                <w:sz w:val="20"/>
              </w:rPr>
            </w:pPr>
            <w:r>
              <w:rPr>
                <w:rFonts w:ascii="Times New Roman" w:hAnsi="Times New Roman"/>
                <w:caps/>
                <w:sz w:val="20"/>
              </w:rPr>
              <w:t>Item 1.</w:t>
            </w:r>
          </w:p>
        </w:tc>
        <w:tc>
          <w:tcPr>
            <w:tcW w:w="8878" w:type="dxa"/>
            <w:tcBorders/>
            <w:shd w:fill="CCEEFF" w:val="clear"/>
            <w:vAlign w:val="center"/>
          </w:tcPr>
          <w:p>
            <w:pPr>
              <w:pStyle w:val="TableContents"/>
              <w:bidi w:val="0"/>
              <w:spacing w:before="0" w:after="0"/>
              <w:ind w:left="0" w:right="0" w:hanging="0"/>
              <w:jc w:val="left"/>
              <w:rPr/>
            </w:pPr>
            <w:hyperlink w:anchor="part1">
              <w:r>
                <w:rPr>
                  <w:rStyle w:val="InternetLink"/>
                  <w:rFonts w:ascii="Times New Roman" w:hAnsi="Times New Roman"/>
                  <w:caps/>
                  <w:sz w:val="20"/>
                </w:rPr>
                <w:t>unaudited CondeNSed CONSOLIDaTED Financial Statements</w:t>
              </w:r>
            </w:hyperlink>
          </w:p>
        </w:tc>
        <w:tc>
          <w:tcPr>
            <w:tcW w:w="696" w:type="dxa"/>
            <w:tcBorders/>
            <w:shd w:fill="CCEEFF" w:val="clear"/>
            <w:vAlign w:val="center"/>
          </w:tcPr>
          <w:p>
            <w:pPr>
              <w:pStyle w:val="TableContents"/>
              <w:bidi w:val="0"/>
              <w:spacing w:before="0" w:after="0"/>
              <w:ind w:left="0" w:right="0" w:hanging="0"/>
              <w:jc w:val="right"/>
              <w:rPr/>
            </w:pPr>
            <w:r>
              <w:rPr/>
              <w:t> </w:t>
            </w:r>
          </w:p>
        </w:tc>
      </w:tr>
      <w:tr>
        <w:trPr/>
        <w:tc>
          <w:tcPr>
            <w:tcW w:w="631" w:type="dxa"/>
            <w:tcBorders/>
            <w:shd w:fill="FFFFFF" w:val="clear"/>
            <w:vAlign w:val="center"/>
          </w:tcPr>
          <w:p>
            <w:pPr>
              <w:pStyle w:val="TableContents"/>
              <w:bidi w:val="0"/>
              <w:spacing w:before="0" w:after="0"/>
              <w:ind w:left="0" w:right="0" w:hanging="0"/>
              <w:jc w:val="left"/>
              <w:rPr/>
            </w:pPr>
            <w:r>
              <w:rPr/>
              <w:t> </w:t>
            </w:r>
          </w:p>
        </w:tc>
        <w:tc>
          <w:tcPr>
            <w:tcW w:w="8878" w:type="dxa"/>
            <w:tcBorders/>
            <w:shd w:fill="FFFFFF" w:val="clear"/>
            <w:vAlign w:val="center"/>
          </w:tcPr>
          <w:p>
            <w:pPr>
              <w:pStyle w:val="TableContents"/>
              <w:bidi w:val="0"/>
              <w:spacing w:before="0" w:after="0"/>
              <w:ind w:left="180" w:right="0" w:hanging="0"/>
              <w:jc w:val="left"/>
              <w:rPr/>
            </w:pPr>
            <w:hyperlink w:anchor="part1">
              <w:r>
                <w:rPr>
                  <w:rStyle w:val="InternetLink"/>
                  <w:rFonts w:ascii="Times New Roman" w:hAnsi="Times New Roman"/>
                  <w:caps/>
                  <w:sz w:val="20"/>
                </w:rPr>
                <w:t>UNAUDITED Condensed CONSOLIDATED Balance Sheets as of MARCH 31, 2023, and December 31, 2022</w:t>
              </w:r>
            </w:hyperlink>
          </w:p>
        </w:tc>
        <w:tc>
          <w:tcPr>
            <w:tcW w:w="696" w:type="dxa"/>
            <w:tcBorders/>
            <w:shd w:fill="FFFFFF" w:val="clear"/>
            <w:vAlign w:val="center"/>
          </w:tcPr>
          <w:p>
            <w:pPr>
              <w:pStyle w:val="TableContents"/>
              <w:bidi w:val="0"/>
              <w:spacing w:before="0" w:after="0"/>
              <w:ind w:left="0" w:right="0" w:hanging="0"/>
              <w:jc w:val="center"/>
              <w:rPr/>
            </w:pPr>
            <w:hyperlink w:anchor="part1">
              <w:r>
                <w:rPr>
                  <w:rStyle w:val="InternetLink"/>
                  <w:rFonts w:ascii="Times New Roman" w:hAnsi="Times New Roman"/>
                  <w:sz w:val="20"/>
                </w:rPr>
                <w:t>4</w:t>
              </w:r>
            </w:hyperlink>
          </w:p>
        </w:tc>
      </w:tr>
      <w:tr>
        <w:trPr/>
        <w:tc>
          <w:tcPr>
            <w:tcW w:w="631" w:type="dxa"/>
            <w:tcBorders/>
            <w:shd w:fill="CCEEFF" w:val="clear"/>
            <w:vAlign w:val="center"/>
          </w:tcPr>
          <w:p>
            <w:pPr>
              <w:pStyle w:val="TableContents"/>
              <w:bidi w:val="0"/>
              <w:spacing w:before="0" w:after="0"/>
              <w:ind w:left="0" w:right="0" w:hanging="0"/>
              <w:jc w:val="left"/>
              <w:rPr/>
            </w:pPr>
            <w:r>
              <w:rPr/>
              <w:t> </w:t>
            </w:r>
          </w:p>
        </w:tc>
        <w:tc>
          <w:tcPr>
            <w:tcW w:w="8878" w:type="dxa"/>
            <w:tcBorders/>
            <w:shd w:fill="CCEEFF" w:val="clear"/>
            <w:vAlign w:val="center"/>
          </w:tcPr>
          <w:p>
            <w:pPr>
              <w:pStyle w:val="TableContents"/>
              <w:bidi w:val="0"/>
              <w:spacing w:before="0" w:after="0"/>
              <w:ind w:left="180" w:right="0" w:hanging="0"/>
              <w:jc w:val="left"/>
              <w:rPr/>
            </w:pPr>
            <w:hyperlink w:anchor="ops">
              <w:r>
                <w:rPr>
                  <w:rStyle w:val="InternetLink"/>
                  <w:rFonts w:ascii="Times New Roman" w:hAnsi="Times New Roman"/>
                  <w:caps/>
                  <w:sz w:val="20"/>
                </w:rPr>
                <w:t>UNAUDITED Condensed CONSOLIDATED Statements of Operations for the three Months ended MARCH 31, 2023, and 2022</w:t>
              </w:r>
            </w:hyperlink>
          </w:p>
        </w:tc>
        <w:tc>
          <w:tcPr>
            <w:tcW w:w="696" w:type="dxa"/>
            <w:tcBorders/>
            <w:shd w:fill="CCEEFF" w:val="clear"/>
            <w:vAlign w:val="center"/>
          </w:tcPr>
          <w:p>
            <w:pPr>
              <w:pStyle w:val="TableContents"/>
              <w:bidi w:val="0"/>
              <w:spacing w:before="0" w:after="0"/>
              <w:ind w:left="0" w:right="0" w:hanging="0"/>
              <w:jc w:val="center"/>
              <w:rPr/>
            </w:pPr>
            <w:hyperlink w:anchor="ops">
              <w:r>
                <w:rPr>
                  <w:rStyle w:val="InternetLink"/>
                  <w:rFonts w:ascii="Times New Roman" w:hAnsi="Times New Roman"/>
                  <w:sz w:val="20"/>
                </w:rPr>
                <w:t>5</w:t>
              </w:r>
            </w:hyperlink>
          </w:p>
        </w:tc>
      </w:tr>
      <w:tr>
        <w:trPr/>
        <w:tc>
          <w:tcPr>
            <w:tcW w:w="631" w:type="dxa"/>
            <w:tcBorders/>
            <w:shd w:fill="FFFFFF" w:val="clear"/>
            <w:vAlign w:val="center"/>
          </w:tcPr>
          <w:p>
            <w:pPr>
              <w:pStyle w:val="TableContents"/>
              <w:bidi w:val="0"/>
              <w:spacing w:before="0" w:after="283"/>
              <w:jc w:val="left"/>
              <w:rPr/>
            </w:pPr>
            <w:r>
              <w:rPr/>
              <w:t> </w:t>
            </w:r>
          </w:p>
        </w:tc>
        <w:tc>
          <w:tcPr>
            <w:tcW w:w="8878" w:type="dxa"/>
            <w:tcBorders/>
            <w:shd w:fill="FFFFFF" w:val="clear"/>
            <w:vAlign w:val="center"/>
          </w:tcPr>
          <w:p>
            <w:pPr>
              <w:pStyle w:val="TableContents"/>
              <w:bidi w:val="0"/>
              <w:spacing w:before="0" w:after="283"/>
              <w:jc w:val="left"/>
              <w:rPr/>
            </w:pPr>
            <w:hyperlink w:anchor="Comp_Incom">
              <w:r>
                <w:rPr>
                  <w:rStyle w:val="InternetLink"/>
                </w:rPr>
                <w:t>UNAUDITED CONDENSED CONSOLIDATED STATEMENTS OF COMPREHENSIVE INCOME (LOSS) FOR THE THREE MONTHS ENDED MARCH 31, 2023, and 2022</w:t>
              </w:r>
            </w:hyperlink>
          </w:p>
        </w:tc>
        <w:tc>
          <w:tcPr>
            <w:tcW w:w="696" w:type="dxa"/>
            <w:tcBorders/>
            <w:shd w:fill="FFFFFF" w:val="clear"/>
            <w:vAlign w:val="center"/>
          </w:tcPr>
          <w:p>
            <w:pPr>
              <w:pStyle w:val="TableContents"/>
              <w:bidi w:val="0"/>
              <w:spacing w:before="0" w:after="283"/>
              <w:jc w:val="center"/>
              <w:rPr/>
            </w:pPr>
            <w:hyperlink w:anchor="Comp_Incom">
              <w:r>
                <w:rPr>
                  <w:rStyle w:val="InternetLink"/>
                </w:rPr>
                <w:t>6</w:t>
              </w:r>
            </w:hyperlink>
          </w:p>
        </w:tc>
      </w:tr>
      <w:tr>
        <w:trPr/>
        <w:tc>
          <w:tcPr>
            <w:tcW w:w="631" w:type="dxa"/>
            <w:tcBorders/>
            <w:shd w:fill="CCEEFF" w:val="clear"/>
            <w:vAlign w:val="center"/>
          </w:tcPr>
          <w:p>
            <w:pPr>
              <w:pStyle w:val="TableContents"/>
              <w:bidi w:val="0"/>
              <w:spacing w:before="0" w:after="283"/>
              <w:jc w:val="left"/>
              <w:rPr/>
            </w:pPr>
            <w:r>
              <w:rPr/>
              <w:t> </w:t>
            </w:r>
          </w:p>
        </w:tc>
        <w:tc>
          <w:tcPr>
            <w:tcW w:w="8878" w:type="dxa"/>
            <w:tcBorders/>
            <w:shd w:fill="CCEEFF" w:val="clear"/>
            <w:vAlign w:val="center"/>
          </w:tcPr>
          <w:p>
            <w:pPr>
              <w:pStyle w:val="TableContents"/>
              <w:bidi w:val="0"/>
              <w:spacing w:before="0" w:after="283"/>
              <w:jc w:val="left"/>
              <w:rPr/>
            </w:pPr>
            <w:hyperlink w:anchor="equity">
              <w:r>
                <w:rPr>
                  <w:rStyle w:val="InternetLink"/>
                </w:rPr>
                <w:t xml:space="preserve">UNAUDITED CONDENSED CONSOLIDATED STATEMENTS OF STOCKHOLDERS' EQUITY FOR THE </w:t>
              </w:r>
            </w:hyperlink>
            <w:hyperlink w:anchor="equity">
              <w:r>
                <w:rPr>
                  <w:rStyle w:val="InternetLink"/>
                  <w:caps/>
                </w:rPr>
                <w:t xml:space="preserve">Three </w:t>
              </w:r>
            </w:hyperlink>
            <w:hyperlink w:anchor="equity">
              <w:r>
                <w:rPr>
                  <w:rStyle w:val="InternetLink"/>
                </w:rPr>
                <w:t>MONTHS ENDED MARCH 31, 2023, AND 2022</w:t>
              </w:r>
            </w:hyperlink>
          </w:p>
        </w:tc>
        <w:tc>
          <w:tcPr>
            <w:tcW w:w="696" w:type="dxa"/>
            <w:tcBorders/>
            <w:shd w:fill="CCEEFF" w:val="clear"/>
            <w:vAlign w:val="center"/>
          </w:tcPr>
          <w:p>
            <w:pPr>
              <w:pStyle w:val="TableContents"/>
              <w:bidi w:val="0"/>
              <w:spacing w:before="0" w:after="283"/>
              <w:jc w:val="center"/>
              <w:rPr/>
            </w:pPr>
            <w:hyperlink w:anchor="equity">
              <w:r>
                <w:rPr>
                  <w:rStyle w:val="InternetLink"/>
                </w:rPr>
                <w:t>7</w:t>
              </w:r>
            </w:hyperlink>
          </w:p>
        </w:tc>
      </w:tr>
      <w:tr>
        <w:trPr/>
        <w:tc>
          <w:tcPr>
            <w:tcW w:w="631" w:type="dxa"/>
            <w:tcBorders/>
            <w:shd w:fill="FFFFFF" w:val="clear"/>
            <w:vAlign w:val="center"/>
          </w:tcPr>
          <w:p>
            <w:pPr>
              <w:pStyle w:val="TableContents"/>
              <w:bidi w:val="0"/>
              <w:spacing w:before="0" w:after="0"/>
              <w:ind w:left="0" w:right="0" w:hanging="0"/>
              <w:jc w:val="left"/>
              <w:rPr/>
            </w:pPr>
            <w:r>
              <w:rPr/>
              <w:t> </w:t>
            </w:r>
          </w:p>
        </w:tc>
        <w:tc>
          <w:tcPr>
            <w:tcW w:w="8878" w:type="dxa"/>
            <w:tcBorders/>
            <w:shd w:fill="FFFFFF" w:val="clear"/>
            <w:vAlign w:val="center"/>
          </w:tcPr>
          <w:p>
            <w:pPr>
              <w:pStyle w:val="TableContents"/>
              <w:bidi w:val="0"/>
              <w:spacing w:before="0" w:after="0"/>
              <w:ind w:left="180" w:right="0" w:hanging="0"/>
              <w:jc w:val="left"/>
              <w:rPr/>
            </w:pPr>
            <w:hyperlink w:anchor="cf">
              <w:r>
                <w:rPr>
                  <w:rStyle w:val="InternetLink"/>
                  <w:rFonts w:ascii="Times New Roman" w:hAnsi="Times New Roman"/>
                  <w:caps/>
                  <w:sz w:val="20"/>
                </w:rPr>
                <w:t>Unaudited condensed CONSOLIDATED Statements of Cash Flows for the THREE months ended MARCH 31, 2023, and 2022</w:t>
              </w:r>
            </w:hyperlink>
          </w:p>
        </w:tc>
        <w:tc>
          <w:tcPr>
            <w:tcW w:w="696" w:type="dxa"/>
            <w:tcBorders/>
            <w:shd w:fill="FFFFFF" w:val="clear"/>
            <w:vAlign w:val="center"/>
          </w:tcPr>
          <w:p>
            <w:pPr>
              <w:pStyle w:val="TableContents"/>
              <w:bidi w:val="0"/>
              <w:spacing w:before="0" w:after="0"/>
              <w:ind w:left="0" w:right="0" w:hanging="0"/>
              <w:jc w:val="center"/>
              <w:rPr/>
            </w:pPr>
            <w:hyperlink w:anchor="cf">
              <w:r>
                <w:rPr>
                  <w:rStyle w:val="InternetLink"/>
                  <w:rFonts w:ascii="Times New Roman" w:hAnsi="Times New Roman"/>
                  <w:sz w:val="20"/>
                </w:rPr>
                <w:t>9</w:t>
              </w:r>
            </w:hyperlink>
          </w:p>
        </w:tc>
      </w:tr>
      <w:tr>
        <w:trPr/>
        <w:tc>
          <w:tcPr>
            <w:tcW w:w="631" w:type="dxa"/>
            <w:tcBorders/>
            <w:shd w:fill="CCEEFF" w:val="clear"/>
            <w:vAlign w:val="center"/>
          </w:tcPr>
          <w:p>
            <w:pPr>
              <w:pStyle w:val="TableContents"/>
              <w:bidi w:val="0"/>
              <w:spacing w:before="0" w:after="0"/>
              <w:ind w:left="0" w:right="0" w:hanging="0"/>
              <w:jc w:val="left"/>
              <w:rPr/>
            </w:pPr>
            <w:r>
              <w:rPr/>
              <w:t> </w:t>
            </w:r>
          </w:p>
        </w:tc>
        <w:tc>
          <w:tcPr>
            <w:tcW w:w="8878" w:type="dxa"/>
            <w:tcBorders/>
            <w:shd w:fill="CCEEFF" w:val="clear"/>
            <w:vAlign w:val="center"/>
          </w:tcPr>
          <w:p>
            <w:pPr>
              <w:pStyle w:val="TableContents"/>
              <w:bidi w:val="0"/>
              <w:spacing w:before="0" w:after="0"/>
              <w:ind w:left="180" w:right="0" w:hanging="0"/>
              <w:jc w:val="left"/>
              <w:rPr/>
            </w:pPr>
            <w:hyperlink w:anchor="notes">
              <w:r>
                <w:rPr>
                  <w:rStyle w:val="InternetLink"/>
                  <w:rFonts w:ascii="Times New Roman" w:hAnsi="Times New Roman"/>
                  <w:caps/>
                  <w:sz w:val="20"/>
                </w:rPr>
                <w:t>Notes to unaudited Condensed CONSOLIDATED Financial Statements</w:t>
              </w:r>
            </w:hyperlink>
          </w:p>
        </w:tc>
        <w:tc>
          <w:tcPr>
            <w:tcW w:w="696" w:type="dxa"/>
            <w:tcBorders/>
            <w:shd w:fill="CCEEFF" w:val="clear"/>
            <w:vAlign w:val="center"/>
          </w:tcPr>
          <w:p>
            <w:pPr>
              <w:pStyle w:val="TableContents"/>
              <w:bidi w:val="0"/>
              <w:spacing w:before="0" w:after="0"/>
              <w:ind w:left="0" w:right="0" w:hanging="0"/>
              <w:jc w:val="center"/>
              <w:rPr/>
            </w:pPr>
            <w:hyperlink w:anchor="notes">
              <w:r>
                <w:rPr>
                  <w:rStyle w:val="InternetLink"/>
                  <w:rFonts w:ascii="Times New Roman" w:hAnsi="Times New Roman"/>
                  <w:sz w:val="20"/>
                </w:rPr>
                <w:t>10</w:t>
              </w:r>
            </w:hyperlink>
          </w:p>
        </w:tc>
      </w:tr>
      <w:tr>
        <w:trPr/>
        <w:tc>
          <w:tcPr>
            <w:tcW w:w="631" w:type="dxa"/>
            <w:tcBorders/>
            <w:shd w:fill="FFFFFF" w:val="clear"/>
            <w:vAlign w:val="center"/>
          </w:tcPr>
          <w:p>
            <w:pPr>
              <w:pStyle w:val="TableContents"/>
              <w:bidi w:val="0"/>
              <w:spacing w:before="0" w:after="0"/>
              <w:ind w:left="0" w:right="0" w:hanging="0"/>
              <w:jc w:val="left"/>
              <w:rPr>
                <w:rFonts w:ascii="Times New Roman" w:hAnsi="Times New Roman"/>
                <w:caps/>
                <w:sz w:val="20"/>
              </w:rPr>
            </w:pPr>
            <w:r>
              <w:rPr>
                <w:rFonts w:ascii="Times New Roman" w:hAnsi="Times New Roman"/>
                <w:caps/>
                <w:sz w:val="20"/>
              </w:rPr>
              <w:t>Item 2.</w:t>
            </w:r>
          </w:p>
        </w:tc>
        <w:tc>
          <w:tcPr>
            <w:tcW w:w="8878" w:type="dxa"/>
            <w:tcBorders/>
            <w:shd w:fill="FFFFFF" w:val="clear"/>
            <w:vAlign w:val="center"/>
          </w:tcPr>
          <w:p>
            <w:pPr>
              <w:pStyle w:val="TableContents"/>
              <w:bidi w:val="0"/>
              <w:spacing w:before="0" w:after="0"/>
              <w:ind w:left="0" w:right="0" w:hanging="0"/>
              <w:jc w:val="left"/>
              <w:rPr/>
            </w:pPr>
            <w:hyperlink w:anchor="item2">
              <w:r>
                <w:rPr>
                  <w:rStyle w:val="InternetLink"/>
                  <w:rFonts w:ascii="Times New Roman" w:hAnsi="Times New Roman"/>
                  <w:caps/>
                  <w:sz w:val="20"/>
                </w:rPr>
                <w:t>Management’</w:t>
              </w:r>
            </w:hyperlink>
            <w:hyperlink w:anchor="item2">
              <w:r>
                <w:rPr>
                  <w:rStyle w:val="InternetLink"/>
                  <w:rFonts w:ascii="Times New Roman;Times;serif" w:hAnsi="Times New Roman;Times;serif"/>
                  <w:caps/>
                  <w:sz w:val="20"/>
                </w:rPr>
                <w:t>s Discussion and Analysis of Financial Condition and Results of Operations</w:t>
              </w:r>
            </w:hyperlink>
          </w:p>
        </w:tc>
        <w:tc>
          <w:tcPr>
            <w:tcW w:w="696" w:type="dxa"/>
            <w:tcBorders/>
            <w:shd w:fill="FFFFFF" w:val="clear"/>
            <w:vAlign w:val="center"/>
          </w:tcPr>
          <w:p>
            <w:pPr>
              <w:pStyle w:val="TableContents"/>
              <w:bidi w:val="0"/>
              <w:spacing w:before="0" w:after="283"/>
              <w:jc w:val="center"/>
              <w:rPr/>
            </w:pPr>
            <w:hyperlink w:anchor="item2">
              <w:r>
                <w:rPr>
                  <w:rStyle w:val="InternetLink"/>
                </w:rPr>
                <w:t>26</w:t>
              </w:r>
            </w:hyperlink>
          </w:p>
        </w:tc>
      </w:tr>
      <w:tr>
        <w:trPr/>
        <w:tc>
          <w:tcPr>
            <w:tcW w:w="631" w:type="dxa"/>
            <w:tcBorders/>
            <w:shd w:fill="CCEEFF" w:val="clear"/>
            <w:vAlign w:val="center"/>
          </w:tcPr>
          <w:p>
            <w:pPr>
              <w:pStyle w:val="TableContents"/>
              <w:bidi w:val="0"/>
              <w:spacing w:before="0" w:after="0"/>
              <w:ind w:left="0" w:right="0" w:hanging="0"/>
              <w:jc w:val="left"/>
              <w:rPr>
                <w:rFonts w:ascii="Times New Roman" w:hAnsi="Times New Roman"/>
                <w:caps/>
                <w:sz w:val="20"/>
              </w:rPr>
            </w:pPr>
            <w:r>
              <w:rPr>
                <w:rFonts w:ascii="Times New Roman" w:hAnsi="Times New Roman"/>
                <w:caps/>
                <w:sz w:val="20"/>
              </w:rPr>
              <w:t>Item 3.</w:t>
            </w:r>
          </w:p>
        </w:tc>
        <w:tc>
          <w:tcPr>
            <w:tcW w:w="8878" w:type="dxa"/>
            <w:tcBorders/>
            <w:shd w:fill="CCEEFF" w:val="clear"/>
            <w:vAlign w:val="center"/>
          </w:tcPr>
          <w:p>
            <w:pPr>
              <w:pStyle w:val="TableContents"/>
              <w:bidi w:val="0"/>
              <w:spacing w:before="0" w:after="0"/>
              <w:ind w:left="0" w:right="0" w:hanging="0"/>
              <w:jc w:val="left"/>
              <w:rPr/>
            </w:pPr>
            <w:hyperlink w:anchor="item3">
              <w:r>
                <w:rPr>
                  <w:rStyle w:val="InternetLink"/>
                  <w:rFonts w:ascii="Times New Roman" w:hAnsi="Times New Roman"/>
                  <w:caps/>
                  <w:sz w:val="20"/>
                </w:rPr>
                <w:t>Quantitative and Qualitative Disclosures About Market Risk</w:t>
              </w:r>
            </w:hyperlink>
          </w:p>
        </w:tc>
        <w:tc>
          <w:tcPr>
            <w:tcW w:w="696" w:type="dxa"/>
            <w:tcBorders/>
            <w:shd w:fill="CCEEFF" w:val="clear"/>
            <w:vAlign w:val="center"/>
          </w:tcPr>
          <w:p>
            <w:pPr>
              <w:pStyle w:val="TableContents"/>
              <w:bidi w:val="0"/>
              <w:spacing w:before="0" w:after="0"/>
              <w:ind w:left="0" w:right="0" w:hanging="0"/>
              <w:jc w:val="center"/>
              <w:rPr/>
            </w:pPr>
            <w:hyperlink w:anchor="item3">
              <w:r>
                <w:rPr>
                  <w:rStyle w:val="InternetLink"/>
                  <w:rFonts w:ascii="Times New Roman" w:hAnsi="Times New Roman"/>
                  <w:sz w:val="20"/>
                </w:rPr>
                <w:t>34</w:t>
              </w:r>
            </w:hyperlink>
          </w:p>
        </w:tc>
      </w:tr>
      <w:tr>
        <w:trPr/>
        <w:tc>
          <w:tcPr>
            <w:tcW w:w="631" w:type="dxa"/>
            <w:tcBorders/>
            <w:shd w:fill="FFFFFF" w:val="clear"/>
            <w:vAlign w:val="center"/>
          </w:tcPr>
          <w:p>
            <w:pPr>
              <w:pStyle w:val="TableContents"/>
              <w:bidi w:val="0"/>
              <w:spacing w:before="0" w:after="0"/>
              <w:ind w:left="0" w:right="0" w:hanging="0"/>
              <w:jc w:val="left"/>
              <w:rPr>
                <w:rFonts w:ascii="Times New Roman" w:hAnsi="Times New Roman"/>
                <w:caps/>
                <w:sz w:val="20"/>
              </w:rPr>
            </w:pPr>
            <w:r>
              <w:rPr>
                <w:rFonts w:ascii="Times New Roman" w:hAnsi="Times New Roman"/>
                <w:caps/>
                <w:sz w:val="20"/>
              </w:rPr>
              <w:t>Item 4.</w:t>
            </w:r>
          </w:p>
        </w:tc>
        <w:tc>
          <w:tcPr>
            <w:tcW w:w="8878" w:type="dxa"/>
            <w:tcBorders/>
            <w:shd w:fill="FFFFFF" w:val="clear"/>
            <w:vAlign w:val="center"/>
          </w:tcPr>
          <w:p>
            <w:pPr>
              <w:pStyle w:val="TableContents"/>
              <w:bidi w:val="0"/>
              <w:spacing w:before="0" w:after="0"/>
              <w:ind w:left="0" w:right="0" w:hanging="0"/>
              <w:jc w:val="left"/>
              <w:rPr/>
            </w:pPr>
            <w:hyperlink w:anchor="item4">
              <w:r>
                <w:rPr>
                  <w:rStyle w:val="InternetLink"/>
                  <w:rFonts w:ascii="Times New Roman" w:hAnsi="Times New Roman"/>
                  <w:caps/>
                  <w:sz w:val="20"/>
                </w:rPr>
                <w:t>Controls and Procedures</w:t>
              </w:r>
            </w:hyperlink>
          </w:p>
        </w:tc>
        <w:tc>
          <w:tcPr>
            <w:tcW w:w="696" w:type="dxa"/>
            <w:tcBorders/>
            <w:shd w:fill="FFFFFF" w:val="clear"/>
            <w:vAlign w:val="center"/>
          </w:tcPr>
          <w:p>
            <w:pPr>
              <w:pStyle w:val="TableContents"/>
              <w:bidi w:val="0"/>
              <w:spacing w:before="0" w:after="0"/>
              <w:ind w:left="0" w:right="0" w:hanging="0"/>
              <w:jc w:val="center"/>
              <w:rPr/>
            </w:pPr>
            <w:hyperlink w:anchor="item4">
              <w:r>
                <w:rPr>
                  <w:rStyle w:val="InternetLink"/>
                  <w:rFonts w:ascii="Times New Roman" w:hAnsi="Times New Roman"/>
                  <w:sz w:val="20"/>
                </w:rPr>
                <w:t>34</w:t>
              </w:r>
            </w:hyperlink>
          </w:p>
        </w:tc>
      </w:tr>
      <w:tr>
        <w:trPr/>
        <w:tc>
          <w:tcPr>
            <w:tcW w:w="631" w:type="dxa"/>
            <w:tcBorders/>
            <w:shd w:fill="CCEEFF" w:val="clear"/>
            <w:vAlign w:val="center"/>
          </w:tcPr>
          <w:p>
            <w:pPr>
              <w:pStyle w:val="TableContents"/>
              <w:bidi w:val="0"/>
              <w:spacing w:before="0" w:after="0"/>
              <w:ind w:left="0" w:right="0" w:hanging="0"/>
              <w:jc w:val="left"/>
              <w:rPr/>
            </w:pPr>
            <w:r>
              <w:rPr/>
              <w:t> </w:t>
            </w:r>
          </w:p>
        </w:tc>
        <w:tc>
          <w:tcPr>
            <w:tcW w:w="8878" w:type="dxa"/>
            <w:tcBorders/>
            <w:shd w:fill="CCEEFF" w:val="clear"/>
            <w:vAlign w:val="center"/>
          </w:tcPr>
          <w:p>
            <w:pPr>
              <w:pStyle w:val="TableContents"/>
              <w:bidi w:val="0"/>
              <w:spacing w:before="0" w:after="0"/>
              <w:ind w:left="0" w:right="0" w:hanging="0"/>
              <w:jc w:val="left"/>
              <w:rPr/>
            </w:pPr>
            <w:r>
              <w:rPr/>
              <w:t> </w:t>
            </w:r>
          </w:p>
        </w:tc>
        <w:tc>
          <w:tcPr>
            <w:tcW w:w="696" w:type="dxa"/>
            <w:tcBorders/>
            <w:shd w:fill="CCEEFF" w:val="clear"/>
            <w:vAlign w:val="center"/>
          </w:tcPr>
          <w:p>
            <w:pPr>
              <w:pStyle w:val="TableContents"/>
              <w:bidi w:val="0"/>
              <w:spacing w:before="0" w:after="0"/>
              <w:ind w:left="0" w:right="0" w:hanging="0"/>
              <w:jc w:val="left"/>
              <w:rPr/>
            </w:pPr>
            <w:r>
              <w:rPr/>
              <w:t> </w:t>
            </w:r>
          </w:p>
        </w:tc>
      </w:tr>
      <w:tr>
        <w:trPr/>
        <w:tc>
          <w:tcPr>
            <w:tcW w:w="631" w:type="dxa"/>
            <w:tcBorders/>
            <w:shd w:fill="FFFFFF" w:val="clear"/>
            <w:vAlign w:val="center"/>
          </w:tcPr>
          <w:p>
            <w:pPr>
              <w:pStyle w:val="TableContents"/>
              <w:bidi w:val="0"/>
              <w:spacing w:before="0" w:after="0"/>
              <w:ind w:left="0" w:right="0" w:hanging="0"/>
              <w:jc w:val="left"/>
              <w:rPr/>
            </w:pPr>
            <w:r>
              <w:rPr/>
              <w:t> </w:t>
            </w:r>
          </w:p>
        </w:tc>
        <w:tc>
          <w:tcPr>
            <w:tcW w:w="8878" w:type="dxa"/>
            <w:tcBorders/>
            <w:shd w:fill="FFFFFF" w:val="clear"/>
            <w:vAlign w:val="center"/>
          </w:tcPr>
          <w:p>
            <w:pPr>
              <w:pStyle w:val="TableContents"/>
              <w:bidi w:val="0"/>
              <w:spacing w:before="0" w:after="0"/>
              <w:ind w:left="0" w:right="0" w:hanging="0"/>
              <w:jc w:val="center"/>
              <w:rPr/>
            </w:pPr>
            <w:hyperlink w:anchor="part2">
              <w:r>
                <w:rPr>
                  <w:rStyle w:val="InternetLink"/>
                  <w:rFonts w:ascii="Times New Roman" w:hAnsi="Times New Roman"/>
                  <w:b/>
                  <w:sz w:val="20"/>
                </w:rPr>
                <w:t>PART II — OTHER INFORMATION</w:t>
              </w:r>
            </w:hyperlink>
          </w:p>
        </w:tc>
        <w:tc>
          <w:tcPr>
            <w:tcW w:w="696" w:type="dxa"/>
            <w:tcBorders/>
            <w:shd w:fill="FFFFFF" w:val="clear"/>
            <w:vAlign w:val="center"/>
          </w:tcPr>
          <w:p>
            <w:pPr>
              <w:pStyle w:val="TableContents"/>
              <w:bidi w:val="0"/>
              <w:spacing w:before="0" w:after="0"/>
              <w:ind w:left="0" w:right="0" w:hanging="0"/>
              <w:jc w:val="right"/>
              <w:rPr/>
            </w:pPr>
            <w:r>
              <w:rPr/>
              <w:t> </w:t>
            </w:r>
          </w:p>
        </w:tc>
      </w:tr>
      <w:tr>
        <w:trPr/>
        <w:tc>
          <w:tcPr>
            <w:tcW w:w="631" w:type="dxa"/>
            <w:tcBorders/>
            <w:shd w:fill="CCEEFF" w:val="clear"/>
            <w:vAlign w:val="center"/>
          </w:tcPr>
          <w:p>
            <w:pPr>
              <w:pStyle w:val="TableContents"/>
              <w:bidi w:val="0"/>
              <w:spacing w:before="0" w:after="0"/>
              <w:ind w:left="0" w:right="0" w:hanging="0"/>
              <w:jc w:val="left"/>
              <w:rPr/>
            </w:pPr>
            <w:r>
              <w:rPr/>
              <w:t> </w:t>
            </w:r>
          </w:p>
        </w:tc>
        <w:tc>
          <w:tcPr>
            <w:tcW w:w="8878" w:type="dxa"/>
            <w:tcBorders/>
            <w:shd w:fill="CCEEFF" w:val="clear"/>
            <w:vAlign w:val="center"/>
          </w:tcPr>
          <w:p>
            <w:pPr>
              <w:pStyle w:val="TableContents"/>
              <w:bidi w:val="0"/>
              <w:spacing w:before="0" w:after="0"/>
              <w:ind w:left="0" w:right="0" w:hanging="0"/>
              <w:jc w:val="left"/>
              <w:rPr/>
            </w:pPr>
            <w:r>
              <w:rPr/>
              <w:t> </w:t>
            </w:r>
          </w:p>
        </w:tc>
        <w:tc>
          <w:tcPr>
            <w:tcW w:w="696" w:type="dxa"/>
            <w:tcBorders/>
            <w:shd w:fill="CCEEFF" w:val="clear"/>
            <w:vAlign w:val="center"/>
          </w:tcPr>
          <w:p>
            <w:pPr>
              <w:pStyle w:val="TableContents"/>
              <w:bidi w:val="0"/>
              <w:spacing w:before="0" w:after="0"/>
              <w:ind w:left="0" w:right="0" w:hanging="0"/>
              <w:jc w:val="left"/>
              <w:rPr/>
            </w:pPr>
            <w:r>
              <w:rPr/>
              <w:t> </w:t>
            </w:r>
          </w:p>
        </w:tc>
      </w:tr>
      <w:tr>
        <w:trPr/>
        <w:tc>
          <w:tcPr>
            <w:tcW w:w="631" w:type="dxa"/>
            <w:tcBorders/>
            <w:shd w:fill="FFFFFF" w:val="clear"/>
            <w:vAlign w:val="center"/>
          </w:tcPr>
          <w:p>
            <w:pPr>
              <w:pStyle w:val="TableContents"/>
              <w:bidi w:val="0"/>
              <w:spacing w:before="0" w:after="0"/>
              <w:ind w:left="0" w:right="0" w:hanging="0"/>
              <w:jc w:val="left"/>
              <w:rPr>
                <w:rFonts w:ascii="Times New Roman" w:hAnsi="Times New Roman"/>
                <w:caps/>
                <w:sz w:val="20"/>
              </w:rPr>
            </w:pPr>
            <w:r>
              <w:rPr>
                <w:rFonts w:ascii="Times New Roman" w:hAnsi="Times New Roman"/>
                <w:caps/>
                <w:sz w:val="20"/>
              </w:rPr>
              <w:t>Item 1.</w:t>
            </w:r>
          </w:p>
        </w:tc>
        <w:tc>
          <w:tcPr>
            <w:tcW w:w="8878" w:type="dxa"/>
            <w:tcBorders/>
            <w:shd w:fill="FFFFFF" w:val="clear"/>
            <w:vAlign w:val="center"/>
          </w:tcPr>
          <w:p>
            <w:pPr>
              <w:pStyle w:val="TableContents"/>
              <w:bidi w:val="0"/>
              <w:spacing w:before="0" w:after="0"/>
              <w:ind w:left="0" w:right="0" w:hanging="0"/>
              <w:jc w:val="left"/>
              <w:rPr/>
            </w:pPr>
            <w:hyperlink w:anchor="legal">
              <w:r>
                <w:rPr>
                  <w:rStyle w:val="InternetLink"/>
                  <w:rFonts w:ascii="Times New Roman" w:hAnsi="Times New Roman"/>
                  <w:caps/>
                  <w:sz w:val="20"/>
                </w:rPr>
                <w:t>Legal Proceedings</w:t>
              </w:r>
            </w:hyperlink>
          </w:p>
        </w:tc>
        <w:tc>
          <w:tcPr>
            <w:tcW w:w="696" w:type="dxa"/>
            <w:tcBorders/>
            <w:shd w:fill="FFFFFF" w:val="clear"/>
            <w:vAlign w:val="center"/>
          </w:tcPr>
          <w:p>
            <w:pPr>
              <w:pStyle w:val="TableContents"/>
              <w:bidi w:val="0"/>
              <w:spacing w:before="0" w:after="0"/>
              <w:ind w:left="0" w:right="0" w:hanging="0"/>
              <w:jc w:val="center"/>
              <w:rPr/>
            </w:pPr>
            <w:hyperlink w:anchor="legal">
              <w:r>
                <w:rPr>
                  <w:rStyle w:val="InternetLink"/>
                  <w:rFonts w:ascii="Times New Roman" w:hAnsi="Times New Roman"/>
                  <w:sz w:val="20"/>
                </w:rPr>
                <w:t>35</w:t>
              </w:r>
            </w:hyperlink>
          </w:p>
        </w:tc>
      </w:tr>
      <w:tr>
        <w:trPr/>
        <w:tc>
          <w:tcPr>
            <w:tcW w:w="631" w:type="dxa"/>
            <w:tcBorders/>
            <w:shd w:fill="CCEEFF" w:val="clear"/>
            <w:vAlign w:val="center"/>
          </w:tcPr>
          <w:p>
            <w:pPr>
              <w:pStyle w:val="TableContents"/>
              <w:bidi w:val="0"/>
              <w:spacing w:before="0" w:after="0"/>
              <w:ind w:left="0" w:right="0" w:hanging="0"/>
              <w:jc w:val="left"/>
              <w:rPr>
                <w:rFonts w:ascii="Times New Roman" w:hAnsi="Times New Roman"/>
                <w:caps/>
                <w:sz w:val="20"/>
              </w:rPr>
            </w:pPr>
            <w:r>
              <w:rPr>
                <w:rFonts w:ascii="Times New Roman" w:hAnsi="Times New Roman"/>
                <w:caps/>
                <w:sz w:val="20"/>
              </w:rPr>
              <w:t>Item 1A.</w:t>
            </w:r>
          </w:p>
        </w:tc>
        <w:tc>
          <w:tcPr>
            <w:tcW w:w="8878" w:type="dxa"/>
            <w:tcBorders/>
            <w:shd w:fill="CCEEFF" w:val="clear"/>
            <w:vAlign w:val="center"/>
          </w:tcPr>
          <w:p>
            <w:pPr>
              <w:pStyle w:val="TableContents"/>
              <w:bidi w:val="0"/>
              <w:spacing w:before="0" w:after="0"/>
              <w:ind w:left="0" w:right="0" w:hanging="0"/>
              <w:jc w:val="left"/>
              <w:rPr/>
            </w:pPr>
            <w:hyperlink w:anchor="risk">
              <w:r>
                <w:rPr>
                  <w:rStyle w:val="InternetLink"/>
                  <w:rFonts w:ascii="Times New Roman" w:hAnsi="Times New Roman"/>
                  <w:caps/>
                  <w:sz w:val="20"/>
                </w:rPr>
                <w:t>Risk Factors</w:t>
              </w:r>
            </w:hyperlink>
          </w:p>
        </w:tc>
        <w:tc>
          <w:tcPr>
            <w:tcW w:w="696" w:type="dxa"/>
            <w:tcBorders/>
            <w:shd w:fill="CCEEFF" w:val="clear"/>
            <w:vAlign w:val="center"/>
          </w:tcPr>
          <w:p>
            <w:pPr>
              <w:pStyle w:val="TableContents"/>
              <w:bidi w:val="0"/>
              <w:spacing w:before="0" w:after="0"/>
              <w:ind w:left="0" w:right="0" w:hanging="0"/>
              <w:jc w:val="center"/>
              <w:rPr/>
            </w:pPr>
            <w:hyperlink w:anchor="risk">
              <w:r>
                <w:rPr>
                  <w:rStyle w:val="InternetLink"/>
                  <w:rFonts w:ascii="Times New Roman" w:hAnsi="Times New Roman"/>
                  <w:sz w:val="20"/>
                </w:rPr>
                <w:t>35</w:t>
              </w:r>
            </w:hyperlink>
          </w:p>
        </w:tc>
      </w:tr>
      <w:tr>
        <w:trPr/>
        <w:tc>
          <w:tcPr>
            <w:tcW w:w="631" w:type="dxa"/>
            <w:tcBorders/>
            <w:shd w:fill="FFFFFF" w:val="clear"/>
            <w:vAlign w:val="center"/>
          </w:tcPr>
          <w:p>
            <w:pPr>
              <w:pStyle w:val="TableContents"/>
              <w:bidi w:val="0"/>
              <w:spacing w:before="0" w:after="0"/>
              <w:ind w:left="0" w:right="0" w:hanging="0"/>
              <w:jc w:val="left"/>
              <w:rPr>
                <w:rFonts w:ascii="Times New Roman" w:hAnsi="Times New Roman"/>
                <w:caps/>
                <w:sz w:val="20"/>
              </w:rPr>
            </w:pPr>
            <w:r>
              <w:rPr>
                <w:rFonts w:ascii="Times New Roman" w:hAnsi="Times New Roman"/>
                <w:caps/>
                <w:sz w:val="20"/>
              </w:rPr>
              <w:t>Item 2.</w:t>
            </w:r>
          </w:p>
        </w:tc>
        <w:tc>
          <w:tcPr>
            <w:tcW w:w="8878" w:type="dxa"/>
            <w:tcBorders/>
            <w:shd w:fill="FFFFFF" w:val="clear"/>
            <w:vAlign w:val="center"/>
          </w:tcPr>
          <w:p>
            <w:pPr>
              <w:pStyle w:val="TableContents"/>
              <w:bidi w:val="0"/>
              <w:spacing w:before="0" w:after="0"/>
              <w:ind w:left="0" w:right="0" w:hanging="0"/>
              <w:jc w:val="left"/>
              <w:rPr/>
            </w:pPr>
            <w:hyperlink w:anchor="unregsales">
              <w:r>
                <w:rPr>
                  <w:rStyle w:val="InternetLink"/>
                  <w:rFonts w:ascii="Times New Roman" w:hAnsi="Times New Roman"/>
                  <w:caps/>
                  <w:sz w:val="20"/>
                </w:rPr>
                <w:t>Unregistered Sales of Equity </w:t>
              </w:r>
            </w:hyperlink>
            <w:hyperlink w:anchor="unregsales">
              <w:r>
                <w:rPr>
                  <w:rStyle w:val="InternetLink"/>
                  <w:rFonts w:ascii="Times New Roman;Times;serif" w:hAnsi="Times New Roman;Times;serif"/>
                  <w:caps/>
                  <w:sz w:val="20"/>
                </w:rPr>
                <w:t>Securities and Use of Proceeds</w:t>
              </w:r>
            </w:hyperlink>
          </w:p>
        </w:tc>
        <w:tc>
          <w:tcPr>
            <w:tcW w:w="696" w:type="dxa"/>
            <w:tcBorders/>
            <w:shd w:fill="FFFFFF" w:val="clear"/>
            <w:vAlign w:val="center"/>
          </w:tcPr>
          <w:p>
            <w:pPr>
              <w:pStyle w:val="TableContents"/>
              <w:bidi w:val="0"/>
              <w:spacing w:before="0" w:after="0"/>
              <w:ind w:left="0" w:right="0" w:hanging="0"/>
              <w:jc w:val="center"/>
              <w:rPr/>
            </w:pPr>
            <w:hyperlink w:anchor="unregsales">
              <w:r>
                <w:rPr>
                  <w:rStyle w:val="InternetLink"/>
                  <w:rFonts w:ascii="Times New Roman" w:hAnsi="Times New Roman"/>
                  <w:sz w:val="20"/>
                </w:rPr>
                <w:t>36</w:t>
              </w:r>
            </w:hyperlink>
          </w:p>
        </w:tc>
      </w:tr>
      <w:tr>
        <w:trPr/>
        <w:tc>
          <w:tcPr>
            <w:tcW w:w="631" w:type="dxa"/>
            <w:tcBorders/>
            <w:shd w:fill="CCEEFF" w:val="clear"/>
            <w:vAlign w:val="center"/>
          </w:tcPr>
          <w:p>
            <w:pPr>
              <w:pStyle w:val="TableContents"/>
              <w:bidi w:val="0"/>
              <w:spacing w:before="0" w:after="0"/>
              <w:ind w:left="0" w:right="0" w:hanging="0"/>
              <w:jc w:val="left"/>
              <w:rPr>
                <w:rFonts w:ascii="Times New Roman" w:hAnsi="Times New Roman"/>
                <w:caps/>
                <w:sz w:val="20"/>
              </w:rPr>
            </w:pPr>
            <w:r>
              <w:rPr>
                <w:rFonts w:ascii="Times New Roman" w:hAnsi="Times New Roman"/>
                <w:caps/>
                <w:sz w:val="20"/>
              </w:rPr>
              <w:t>Item 3.</w:t>
            </w:r>
          </w:p>
        </w:tc>
        <w:tc>
          <w:tcPr>
            <w:tcW w:w="8878" w:type="dxa"/>
            <w:tcBorders/>
            <w:shd w:fill="CCEEFF" w:val="clear"/>
            <w:vAlign w:val="center"/>
          </w:tcPr>
          <w:p>
            <w:pPr>
              <w:pStyle w:val="TableContents"/>
              <w:bidi w:val="0"/>
              <w:spacing w:before="0" w:after="0"/>
              <w:ind w:left="0" w:right="0" w:hanging="0"/>
              <w:jc w:val="left"/>
              <w:rPr/>
            </w:pPr>
            <w:hyperlink w:anchor="defaults">
              <w:r>
                <w:rPr>
                  <w:rStyle w:val="InternetLink"/>
                  <w:rFonts w:ascii="Times New Roman" w:hAnsi="Times New Roman"/>
                  <w:caps/>
                  <w:sz w:val="20"/>
                </w:rPr>
                <w:t>Defaults Upon Senior Securities</w:t>
              </w:r>
            </w:hyperlink>
          </w:p>
        </w:tc>
        <w:tc>
          <w:tcPr>
            <w:tcW w:w="696" w:type="dxa"/>
            <w:tcBorders/>
            <w:shd w:fill="CCEEFF" w:val="clear"/>
            <w:vAlign w:val="center"/>
          </w:tcPr>
          <w:p>
            <w:pPr>
              <w:pStyle w:val="TableContents"/>
              <w:bidi w:val="0"/>
              <w:spacing w:before="0" w:after="0"/>
              <w:ind w:left="0" w:right="0" w:hanging="0"/>
              <w:jc w:val="center"/>
              <w:rPr/>
            </w:pPr>
            <w:hyperlink w:anchor="defaults">
              <w:r>
                <w:rPr>
                  <w:rStyle w:val="InternetLink"/>
                  <w:rFonts w:ascii="Times New Roman" w:hAnsi="Times New Roman"/>
                  <w:sz w:val="20"/>
                </w:rPr>
                <w:t>36</w:t>
              </w:r>
            </w:hyperlink>
          </w:p>
        </w:tc>
      </w:tr>
      <w:tr>
        <w:trPr/>
        <w:tc>
          <w:tcPr>
            <w:tcW w:w="631" w:type="dxa"/>
            <w:tcBorders/>
            <w:shd w:fill="FFFFFF" w:val="clear"/>
            <w:vAlign w:val="center"/>
          </w:tcPr>
          <w:p>
            <w:pPr>
              <w:pStyle w:val="TableContents"/>
              <w:bidi w:val="0"/>
              <w:spacing w:before="0" w:after="0"/>
              <w:ind w:left="0" w:right="0" w:hanging="0"/>
              <w:jc w:val="left"/>
              <w:rPr>
                <w:rFonts w:ascii="Times New Roman" w:hAnsi="Times New Roman"/>
                <w:caps/>
                <w:sz w:val="20"/>
              </w:rPr>
            </w:pPr>
            <w:r>
              <w:rPr>
                <w:rFonts w:ascii="Times New Roman" w:hAnsi="Times New Roman"/>
                <w:caps/>
                <w:sz w:val="20"/>
              </w:rPr>
              <w:t>Item 4.</w:t>
            </w:r>
          </w:p>
        </w:tc>
        <w:tc>
          <w:tcPr>
            <w:tcW w:w="8878" w:type="dxa"/>
            <w:tcBorders/>
            <w:shd w:fill="FFFFFF" w:val="clear"/>
            <w:vAlign w:val="center"/>
          </w:tcPr>
          <w:p>
            <w:pPr>
              <w:pStyle w:val="TableContents"/>
              <w:bidi w:val="0"/>
              <w:spacing w:before="0" w:after="0"/>
              <w:ind w:left="0" w:right="0" w:hanging="0"/>
              <w:jc w:val="left"/>
              <w:rPr/>
            </w:pPr>
            <w:hyperlink w:anchor="mine">
              <w:r>
                <w:rPr>
                  <w:rStyle w:val="InternetLink"/>
                  <w:rFonts w:ascii="Times New Roman" w:hAnsi="Times New Roman"/>
                  <w:caps/>
                  <w:sz w:val="20"/>
                </w:rPr>
                <w:t>Mine Safety Disclosures</w:t>
              </w:r>
            </w:hyperlink>
          </w:p>
        </w:tc>
        <w:tc>
          <w:tcPr>
            <w:tcW w:w="696" w:type="dxa"/>
            <w:tcBorders/>
            <w:shd w:fill="FFFFFF" w:val="clear"/>
            <w:vAlign w:val="center"/>
          </w:tcPr>
          <w:p>
            <w:pPr>
              <w:pStyle w:val="TableContents"/>
              <w:bidi w:val="0"/>
              <w:spacing w:before="0" w:after="0"/>
              <w:ind w:left="0" w:right="0" w:hanging="0"/>
              <w:jc w:val="center"/>
              <w:rPr/>
            </w:pPr>
            <w:hyperlink w:anchor="mine">
              <w:r>
                <w:rPr>
                  <w:rStyle w:val="InternetLink"/>
                  <w:rFonts w:ascii="Times New Roman" w:hAnsi="Times New Roman"/>
                  <w:sz w:val="20"/>
                </w:rPr>
                <w:t>36</w:t>
              </w:r>
            </w:hyperlink>
          </w:p>
        </w:tc>
      </w:tr>
      <w:tr>
        <w:trPr/>
        <w:tc>
          <w:tcPr>
            <w:tcW w:w="631" w:type="dxa"/>
            <w:tcBorders/>
            <w:shd w:fill="CCEEFF" w:val="clear"/>
            <w:vAlign w:val="center"/>
          </w:tcPr>
          <w:p>
            <w:pPr>
              <w:pStyle w:val="TableContents"/>
              <w:bidi w:val="0"/>
              <w:spacing w:before="0" w:after="0"/>
              <w:ind w:left="0" w:right="0" w:hanging="0"/>
              <w:jc w:val="left"/>
              <w:rPr>
                <w:rFonts w:ascii="Times New Roman" w:hAnsi="Times New Roman"/>
                <w:caps/>
                <w:sz w:val="20"/>
              </w:rPr>
            </w:pPr>
            <w:r>
              <w:rPr>
                <w:rFonts w:ascii="Times New Roman" w:hAnsi="Times New Roman"/>
                <w:caps/>
                <w:sz w:val="20"/>
              </w:rPr>
              <w:t>Item 5.</w:t>
            </w:r>
          </w:p>
        </w:tc>
        <w:tc>
          <w:tcPr>
            <w:tcW w:w="8878" w:type="dxa"/>
            <w:tcBorders/>
            <w:shd w:fill="CCEEFF" w:val="clear"/>
            <w:vAlign w:val="center"/>
          </w:tcPr>
          <w:p>
            <w:pPr>
              <w:pStyle w:val="TableContents"/>
              <w:bidi w:val="0"/>
              <w:spacing w:before="0" w:after="0"/>
              <w:ind w:left="0" w:right="0" w:hanging="0"/>
              <w:jc w:val="left"/>
              <w:rPr/>
            </w:pPr>
            <w:hyperlink w:anchor="other">
              <w:r>
                <w:rPr>
                  <w:rStyle w:val="InternetLink"/>
                  <w:rFonts w:ascii="Times New Roman" w:hAnsi="Times New Roman"/>
                  <w:caps/>
                  <w:sz w:val="20"/>
                </w:rPr>
                <w:t>Other Information</w:t>
              </w:r>
            </w:hyperlink>
          </w:p>
        </w:tc>
        <w:tc>
          <w:tcPr>
            <w:tcW w:w="696" w:type="dxa"/>
            <w:tcBorders/>
            <w:shd w:fill="CCEEFF" w:val="clear"/>
            <w:vAlign w:val="center"/>
          </w:tcPr>
          <w:p>
            <w:pPr>
              <w:pStyle w:val="TableContents"/>
              <w:bidi w:val="0"/>
              <w:spacing w:before="0" w:after="0"/>
              <w:ind w:left="0" w:right="0" w:hanging="0"/>
              <w:jc w:val="center"/>
              <w:rPr/>
            </w:pPr>
            <w:hyperlink w:anchor="other">
              <w:r>
                <w:rPr>
                  <w:rStyle w:val="InternetLink"/>
                  <w:rFonts w:ascii="Times New Roman" w:hAnsi="Times New Roman"/>
                  <w:sz w:val="20"/>
                </w:rPr>
                <w:t>36</w:t>
              </w:r>
            </w:hyperlink>
          </w:p>
        </w:tc>
      </w:tr>
      <w:tr>
        <w:trPr/>
        <w:tc>
          <w:tcPr>
            <w:tcW w:w="631" w:type="dxa"/>
            <w:tcBorders/>
            <w:shd w:fill="FFFFFF" w:val="clear"/>
            <w:vAlign w:val="center"/>
          </w:tcPr>
          <w:p>
            <w:pPr>
              <w:pStyle w:val="TableContents"/>
              <w:bidi w:val="0"/>
              <w:spacing w:before="0" w:after="0"/>
              <w:ind w:left="0" w:right="0" w:hanging="0"/>
              <w:jc w:val="left"/>
              <w:rPr>
                <w:rFonts w:ascii="Times New Roman" w:hAnsi="Times New Roman"/>
                <w:caps/>
                <w:sz w:val="20"/>
              </w:rPr>
            </w:pPr>
            <w:r>
              <w:rPr>
                <w:rFonts w:ascii="Times New Roman" w:hAnsi="Times New Roman"/>
                <w:caps/>
                <w:sz w:val="20"/>
              </w:rPr>
              <w:t>Item 6.</w:t>
            </w:r>
          </w:p>
        </w:tc>
        <w:tc>
          <w:tcPr>
            <w:tcW w:w="8878" w:type="dxa"/>
            <w:tcBorders/>
            <w:shd w:fill="FFFFFF" w:val="clear"/>
            <w:vAlign w:val="center"/>
          </w:tcPr>
          <w:p>
            <w:pPr>
              <w:pStyle w:val="TableContents"/>
              <w:bidi w:val="0"/>
              <w:spacing w:before="0" w:after="0"/>
              <w:ind w:left="0" w:right="0" w:hanging="0"/>
              <w:jc w:val="left"/>
              <w:rPr/>
            </w:pPr>
            <w:hyperlink w:anchor="exhibits">
              <w:r>
                <w:rPr>
                  <w:rStyle w:val="InternetLink"/>
                  <w:rFonts w:ascii="Times New Roman" w:hAnsi="Times New Roman"/>
                  <w:caps/>
                  <w:sz w:val="20"/>
                </w:rPr>
                <w:t>Exhibits</w:t>
              </w:r>
            </w:hyperlink>
          </w:p>
        </w:tc>
        <w:tc>
          <w:tcPr>
            <w:tcW w:w="696" w:type="dxa"/>
            <w:tcBorders/>
            <w:shd w:fill="FFFFFF" w:val="clear"/>
            <w:vAlign w:val="center"/>
          </w:tcPr>
          <w:p>
            <w:pPr>
              <w:pStyle w:val="TableContents"/>
              <w:bidi w:val="0"/>
              <w:spacing w:before="0" w:after="0"/>
              <w:ind w:left="0" w:right="0" w:hanging="0"/>
              <w:jc w:val="center"/>
              <w:rPr/>
            </w:pPr>
            <w:hyperlink w:anchor="exhibits">
              <w:r>
                <w:rPr>
                  <w:rStyle w:val="InternetLink"/>
                  <w:rFonts w:ascii="Times New Roman" w:hAnsi="Times New Roman"/>
                  <w:sz w:val="20"/>
                </w:rPr>
                <w:t>37</w:t>
              </w:r>
            </w:hyperlink>
          </w:p>
        </w:tc>
      </w:tr>
      <w:tr>
        <w:trPr/>
        <w:tc>
          <w:tcPr>
            <w:tcW w:w="631" w:type="dxa"/>
            <w:tcBorders/>
            <w:shd w:fill="CCEEFF" w:val="clear"/>
            <w:vAlign w:val="center"/>
          </w:tcPr>
          <w:p>
            <w:pPr>
              <w:pStyle w:val="TableContents"/>
              <w:bidi w:val="0"/>
              <w:spacing w:before="0" w:after="0"/>
              <w:ind w:left="0" w:right="0" w:hanging="0"/>
              <w:jc w:val="left"/>
              <w:rPr/>
            </w:pPr>
            <w:r>
              <w:rPr/>
              <w:t> </w:t>
            </w:r>
          </w:p>
        </w:tc>
        <w:tc>
          <w:tcPr>
            <w:tcW w:w="8878" w:type="dxa"/>
            <w:tcBorders/>
            <w:shd w:fill="CCEEFF" w:val="clear"/>
            <w:vAlign w:val="center"/>
          </w:tcPr>
          <w:p>
            <w:pPr>
              <w:pStyle w:val="TableContents"/>
              <w:bidi w:val="0"/>
              <w:spacing w:before="0" w:after="0"/>
              <w:ind w:left="0" w:right="0" w:hanging="0"/>
              <w:jc w:val="left"/>
              <w:rPr/>
            </w:pPr>
            <w:r>
              <w:rPr/>
              <w:t> </w:t>
            </w:r>
          </w:p>
        </w:tc>
        <w:tc>
          <w:tcPr>
            <w:tcW w:w="696" w:type="dxa"/>
            <w:tcBorders/>
            <w:shd w:fill="CCEEFF" w:val="clear"/>
            <w:vAlign w:val="center"/>
          </w:tcPr>
          <w:p>
            <w:pPr>
              <w:pStyle w:val="TableContents"/>
              <w:bidi w:val="0"/>
              <w:spacing w:before="0" w:after="0"/>
              <w:ind w:left="0" w:right="0" w:hanging="0"/>
              <w:jc w:val="left"/>
              <w:rPr/>
            </w:pPr>
            <w:r>
              <w:rPr/>
              <w:t> </w:t>
            </w:r>
          </w:p>
        </w:tc>
      </w:tr>
      <w:tr>
        <w:trPr/>
        <w:tc>
          <w:tcPr>
            <w:tcW w:w="631" w:type="dxa"/>
            <w:tcBorders/>
            <w:shd w:fill="FFFFFF" w:val="clear"/>
            <w:vAlign w:val="center"/>
          </w:tcPr>
          <w:p>
            <w:pPr>
              <w:pStyle w:val="TableContents"/>
              <w:bidi w:val="0"/>
              <w:spacing w:before="0" w:after="0"/>
              <w:ind w:left="0" w:right="0" w:hanging="0"/>
              <w:jc w:val="left"/>
              <w:rPr/>
            </w:pPr>
            <w:r>
              <w:rPr/>
              <w:t> </w:t>
            </w:r>
          </w:p>
        </w:tc>
        <w:tc>
          <w:tcPr>
            <w:tcW w:w="8878" w:type="dxa"/>
            <w:tcBorders/>
            <w:shd w:fill="FFFFFF" w:val="clear"/>
            <w:vAlign w:val="center"/>
          </w:tcPr>
          <w:p>
            <w:pPr>
              <w:pStyle w:val="TableContents"/>
              <w:bidi w:val="0"/>
              <w:spacing w:before="0" w:after="283"/>
              <w:jc w:val="left"/>
              <w:rPr/>
            </w:pPr>
            <w:hyperlink w:anchor="sigs">
              <w:r>
                <w:rPr>
                  <w:rStyle w:val="InternetLink"/>
                  <w:caps/>
                </w:rPr>
                <w:t>Signatures</w:t>
              </w:r>
            </w:hyperlink>
          </w:p>
        </w:tc>
        <w:tc>
          <w:tcPr>
            <w:tcW w:w="696" w:type="dxa"/>
            <w:tcBorders/>
            <w:shd w:fill="FFFFFF" w:val="clear"/>
            <w:vAlign w:val="center"/>
          </w:tcPr>
          <w:p>
            <w:pPr>
              <w:pStyle w:val="TableContents"/>
              <w:bidi w:val="0"/>
              <w:spacing w:before="0" w:after="0"/>
              <w:ind w:left="0" w:right="0" w:hanging="0"/>
              <w:jc w:val="center"/>
              <w:rPr/>
            </w:pPr>
            <w:hyperlink w:anchor="sigs">
              <w:r>
                <w:rPr>
                  <w:rStyle w:val="InternetLink"/>
                  <w:rFonts w:ascii="Times New Roman" w:hAnsi="Times New Roman"/>
                  <w:sz w:val="20"/>
                </w:rPr>
                <w:t>38</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SPECIAL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This</w:t>
      </w:r>
      <w:r>
        <w:rPr>
          <w:rFonts w:ascii="Times New Roman" w:hAnsi="Times New Roman"/>
          <w:caps w:val="false"/>
          <w:smallCaps w:val="false"/>
          <w:sz w:val="20"/>
        </w:rPr>
        <w:t> </w:t>
      </w:r>
      <w:r>
        <w:rPr>
          <w:rFonts w:ascii="Times New Roman" w:hAnsi="Times New Roman"/>
          <w:i/>
          <w:caps w:val="false"/>
          <w:smallCaps w:val="false"/>
          <w:sz w:val="20"/>
        </w:rPr>
        <w:t xml:space="preserve">Quarterly Report on Form 10-Q, including the section entitled </w:t>
      </w:r>
      <w:r>
        <w:rPr>
          <w:rFonts w:ascii="Times New Roman" w:hAnsi="Times New Roman"/>
          <w:caps w:val="false"/>
          <w:smallCaps w:val="false"/>
          <w:sz w:val="20"/>
        </w:rPr>
        <w:t>“</w:t>
      </w:r>
      <w:r>
        <w:rPr>
          <w:rFonts w:ascii="Times New Roman" w:hAnsi="Times New Roman"/>
          <w:i/>
          <w:caps w:val="false"/>
          <w:smallCaps w:val="false"/>
          <w:sz w:val="20"/>
        </w:rPr>
        <w:t>Management</w:t>
      </w:r>
      <w:r>
        <w:rPr>
          <w:rFonts w:ascii="Times New Roman" w:hAnsi="Times New Roman"/>
          <w:caps w:val="false"/>
          <w:smallCaps w:val="false"/>
          <w:sz w:val="20"/>
        </w:rPr>
        <w:t>’</w:t>
      </w:r>
      <w:r>
        <w:rPr>
          <w:rFonts w:ascii="Times New Roman" w:hAnsi="Times New Roman"/>
          <w:i/>
          <w:caps w:val="false"/>
          <w:smallCaps w:val="false"/>
          <w:sz w:val="20"/>
        </w:rPr>
        <w:t>s Discussion and Analysis of Financial Condition and Results of Operations,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contains forward-looking statements regarding future events and our future results that are subject to the safe harbors created under the Securities Act of 1933, as amended, or the Securities Act, and the Securities Exchange Act of 1934, as amended, or the Exchange Act. Forward-looking statements relate to future events or our future financial performance. We generally identify forward-looking statements by terminology such as </w:t>
      </w:r>
      <w:r>
        <w:rPr>
          <w:rFonts w:ascii="Times New Roman" w:hAnsi="Times New Roman"/>
          <w:caps w:val="false"/>
          <w:smallCaps w:val="false"/>
          <w:sz w:val="20"/>
        </w:rPr>
        <w:t>“</w:t>
      </w:r>
      <w:r>
        <w:rPr>
          <w:rFonts w:ascii="Times New Roman" w:hAnsi="Times New Roman"/>
          <w:i/>
          <w:caps w:val="false"/>
          <w:smallCaps w:val="false"/>
          <w:sz w:val="20"/>
        </w:rPr>
        <w:t>may,</w:t>
      </w:r>
      <w:r>
        <w:rPr>
          <w:rFonts w:ascii="Times New Roman" w:hAnsi="Times New Roman"/>
          <w:caps w:val="false"/>
          <w:smallCaps w:val="false"/>
          <w:sz w:val="20"/>
        </w:rPr>
        <w:t>” “</w:t>
      </w:r>
      <w:r>
        <w:rPr>
          <w:rFonts w:ascii="Times New Roman" w:hAnsi="Times New Roman"/>
          <w:i/>
          <w:caps w:val="false"/>
          <w:smallCaps w:val="false"/>
          <w:sz w:val="20"/>
        </w:rPr>
        <w:t>will,</w:t>
      </w:r>
      <w:r>
        <w:rPr>
          <w:rFonts w:ascii="Times New Roman" w:hAnsi="Times New Roman"/>
          <w:caps w:val="false"/>
          <w:smallCaps w:val="false"/>
          <w:sz w:val="20"/>
        </w:rPr>
        <w:t>” “</w:t>
      </w:r>
      <w:r>
        <w:rPr>
          <w:rFonts w:ascii="Times New Roman" w:hAnsi="Times New Roman"/>
          <w:i/>
          <w:caps w:val="false"/>
          <w:smallCaps w:val="false"/>
          <w:sz w:val="20"/>
        </w:rPr>
        <w:t>would,</w:t>
      </w:r>
      <w:r>
        <w:rPr>
          <w:rFonts w:ascii="Times New Roman" w:hAnsi="Times New Roman"/>
          <w:caps w:val="false"/>
          <w:smallCaps w:val="false"/>
          <w:sz w:val="20"/>
        </w:rPr>
        <w:t>” “</w:t>
      </w:r>
      <w:r>
        <w:rPr>
          <w:rFonts w:ascii="Times New Roman" w:hAnsi="Times New Roman"/>
          <w:i/>
          <w:caps w:val="false"/>
          <w:smallCaps w:val="false"/>
          <w:sz w:val="20"/>
        </w:rPr>
        <w:t>should,</w:t>
      </w:r>
      <w:r>
        <w:rPr>
          <w:rFonts w:ascii="Times New Roman" w:hAnsi="Times New Roman"/>
          <w:caps w:val="false"/>
          <w:smallCaps w:val="false"/>
          <w:sz w:val="20"/>
        </w:rPr>
        <w:t>” “</w:t>
      </w:r>
      <w:r>
        <w:rPr>
          <w:rFonts w:ascii="Times New Roman" w:hAnsi="Times New Roman"/>
          <w:i/>
          <w:caps w:val="false"/>
          <w:smallCaps w:val="false"/>
          <w:sz w:val="20"/>
        </w:rPr>
        <w:t>expects,</w:t>
      </w:r>
      <w:r>
        <w:rPr>
          <w:rFonts w:ascii="Times New Roman" w:hAnsi="Times New Roman"/>
          <w:caps w:val="false"/>
          <w:smallCaps w:val="false"/>
          <w:sz w:val="20"/>
        </w:rPr>
        <w:t>” “</w:t>
      </w:r>
      <w:r>
        <w:rPr>
          <w:rFonts w:ascii="Times New Roman" w:hAnsi="Times New Roman"/>
          <w:i/>
          <w:caps w:val="false"/>
          <w:smallCaps w:val="false"/>
          <w:sz w:val="20"/>
        </w:rPr>
        <w:t>plans,</w:t>
      </w:r>
      <w:r>
        <w:rPr>
          <w:rFonts w:ascii="Times New Roman" w:hAnsi="Times New Roman"/>
          <w:caps w:val="false"/>
          <w:smallCaps w:val="false"/>
          <w:sz w:val="20"/>
        </w:rPr>
        <w:t>” “</w:t>
      </w:r>
      <w:r>
        <w:rPr>
          <w:rFonts w:ascii="Times New Roman" w:hAnsi="Times New Roman"/>
          <w:i/>
          <w:caps w:val="false"/>
          <w:smallCaps w:val="false"/>
          <w:sz w:val="20"/>
        </w:rPr>
        <w:t>anticipates,</w:t>
      </w:r>
      <w:r>
        <w:rPr>
          <w:rFonts w:ascii="Times New Roman" w:hAnsi="Times New Roman"/>
          <w:caps w:val="false"/>
          <w:smallCaps w:val="false"/>
          <w:sz w:val="20"/>
        </w:rPr>
        <w:t>” “</w:t>
      </w:r>
      <w:r>
        <w:rPr>
          <w:rFonts w:ascii="Times New Roman" w:hAnsi="Times New Roman"/>
          <w:i/>
          <w:caps w:val="false"/>
          <w:smallCaps w:val="false"/>
          <w:sz w:val="20"/>
        </w:rPr>
        <w:t>could,</w:t>
      </w:r>
      <w:r>
        <w:rPr>
          <w:rFonts w:ascii="Times New Roman" w:hAnsi="Times New Roman"/>
          <w:caps w:val="false"/>
          <w:smallCaps w:val="false"/>
          <w:sz w:val="20"/>
        </w:rPr>
        <w:t>” “</w:t>
      </w:r>
      <w:r>
        <w:rPr>
          <w:rFonts w:ascii="Times New Roman" w:hAnsi="Times New Roman"/>
          <w:i/>
          <w:caps w:val="false"/>
          <w:smallCaps w:val="false"/>
          <w:sz w:val="20"/>
        </w:rPr>
        <w:t>intends,</w:t>
      </w:r>
      <w:r>
        <w:rPr>
          <w:rFonts w:ascii="Times New Roman" w:hAnsi="Times New Roman"/>
          <w:caps w:val="false"/>
          <w:smallCaps w:val="false"/>
          <w:sz w:val="20"/>
        </w:rPr>
        <w:t>” “</w:t>
      </w:r>
      <w:r>
        <w:rPr>
          <w:rFonts w:ascii="Times New Roman" w:hAnsi="Times New Roman"/>
          <w:i/>
          <w:caps w:val="false"/>
          <w:smallCaps w:val="false"/>
          <w:sz w:val="20"/>
        </w:rPr>
        <w:t>target,</w:t>
      </w:r>
      <w:r>
        <w:rPr>
          <w:rFonts w:ascii="Times New Roman" w:hAnsi="Times New Roman"/>
          <w:caps w:val="false"/>
          <w:smallCaps w:val="false"/>
          <w:sz w:val="20"/>
        </w:rPr>
        <w:t>” “</w:t>
      </w:r>
      <w:r>
        <w:rPr>
          <w:rFonts w:ascii="Times New Roman" w:hAnsi="Times New Roman"/>
          <w:i/>
          <w:caps w:val="false"/>
          <w:smallCaps w:val="false"/>
          <w:sz w:val="20"/>
        </w:rPr>
        <w:t>projects,</w:t>
      </w:r>
      <w:r>
        <w:rPr>
          <w:rFonts w:ascii="Times New Roman" w:hAnsi="Times New Roman"/>
          <w:caps w:val="false"/>
          <w:smallCaps w:val="false"/>
          <w:sz w:val="20"/>
        </w:rPr>
        <w:t>” “</w:t>
      </w:r>
      <w:r>
        <w:rPr>
          <w:rFonts w:ascii="Times New Roman" w:hAnsi="Times New Roman"/>
          <w:i/>
          <w:caps w:val="false"/>
          <w:smallCaps w:val="false"/>
          <w:sz w:val="20"/>
        </w:rPr>
        <w:t>contemplates,</w:t>
      </w:r>
      <w:r>
        <w:rPr>
          <w:rFonts w:ascii="Times New Roman" w:hAnsi="Times New Roman"/>
          <w:caps w:val="false"/>
          <w:smallCaps w:val="false"/>
          <w:sz w:val="20"/>
        </w:rPr>
        <w:t>” “</w:t>
      </w:r>
      <w:r>
        <w:rPr>
          <w:rFonts w:ascii="Times New Roman" w:hAnsi="Times New Roman"/>
          <w:i/>
          <w:caps w:val="false"/>
          <w:smallCaps w:val="false"/>
          <w:sz w:val="20"/>
        </w:rPr>
        <w:t>believes,</w:t>
      </w:r>
      <w:r>
        <w:rPr>
          <w:rFonts w:ascii="Times New Roman" w:hAnsi="Times New Roman"/>
          <w:caps w:val="false"/>
          <w:smallCaps w:val="false"/>
          <w:sz w:val="20"/>
        </w:rPr>
        <w:t>” “</w:t>
      </w:r>
      <w:r>
        <w:rPr>
          <w:rFonts w:ascii="Times New Roman" w:hAnsi="Times New Roman"/>
          <w:i/>
          <w:caps w:val="false"/>
          <w:smallCaps w:val="false"/>
          <w:sz w:val="20"/>
        </w:rPr>
        <w:t>estimates,</w:t>
      </w:r>
      <w:r>
        <w:rPr>
          <w:rFonts w:ascii="Times New Roman" w:hAnsi="Times New Roman"/>
          <w:caps w:val="false"/>
          <w:smallCaps w:val="false"/>
          <w:sz w:val="20"/>
        </w:rPr>
        <w:t>” “</w:t>
      </w:r>
      <w:r>
        <w:rPr>
          <w:rFonts w:ascii="Times New Roman" w:hAnsi="Times New Roman"/>
          <w:i/>
          <w:caps w:val="false"/>
          <w:smallCaps w:val="false"/>
          <w:sz w:val="20"/>
        </w:rPr>
        <w:t>predicts,</w:t>
      </w:r>
      <w:r>
        <w:rPr>
          <w:rFonts w:ascii="Times New Roman" w:hAnsi="Times New Roman"/>
          <w:caps w:val="false"/>
          <w:smallCaps w:val="false"/>
          <w:sz w:val="20"/>
        </w:rPr>
        <w:t>” “</w:t>
      </w:r>
      <w:r>
        <w:rPr>
          <w:rFonts w:ascii="Times New Roman" w:hAnsi="Times New Roman"/>
          <w:i/>
          <w:caps w:val="false"/>
          <w:smallCaps w:val="false"/>
          <w:sz w:val="20"/>
        </w:rPr>
        <w:t>assume,</w:t>
      </w:r>
      <w:r>
        <w:rPr>
          <w:rFonts w:ascii="Times New Roman" w:hAnsi="Times New Roman"/>
          <w:caps w:val="false"/>
          <w:smallCaps w:val="false"/>
          <w:sz w:val="20"/>
        </w:rPr>
        <w:t>” “</w:t>
      </w:r>
      <w:r>
        <w:rPr>
          <w:rFonts w:ascii="Times New Roman" w:hAnsi="Times New Roman"/>
          <w:i/>
          <w:caps w:val="false"/>
          <w:smallCaps w:val="false"/>
          <w:sz w:val="20"/>
        </w:rPr>
        <w:t>intend,</w:t>
      </w:r>
      <w:r>
        <w:rPr>
          <w:rFonts w:ascii="Times New Roman" w:hAnsi="Times New Roman"/>
          <w:caps w:val="false"/>
          <w:smallCaps w:val="false"/>
          <w:sz w:val="20"/>
        </w:rPr>
        <w:t>” “</w:t>
      </w:r>
      <w:r>
        <w:rPr>
          <w:rFonts w:ascii="Times New Roman" w:hAnsi="Times New Roman"/>
          <w:i/>
          <w:caps w:val="false"/>
          <w:smallCaps w:val="false"/>
          <w:sz w:val="20"/>
        </w:rPr>
        <w:t>potential,</w:t>
      </w:r>
      <w:r>
        <w:rPr>
          <w:rFonts w:ascii="Times New Roman" w:hAnsi="Times New Roman"/>
          <w:caps w:val="false"/>
          <w:smallCaps w:val="false"/>
          <w:sz w:val="20"/>
        </w:rPr>
        <w:t>” “</w:t>
      </w:r>
      <w:r>
        <w:rPr>
          <w:rFonts w:ascii="Times New Roman" w:hAnsi="Times New Roman"/>
          <w:i/>
          <w:caps w:val="false"/>
          <w:smallCaps w:val="false"/>
          <w:sz w:val="20"/>
        </w:rPr>
        <w:t>continue</w:t>
      </w:r>
      <w:r>
        <w:rPr>
          <w:rFonts w:ascii="Times New Roman" w:hAnsi="Times New Roman"/>
          <w:caps w:val="false"/>
          <w:smallCaps w:val="false"/>
          <w:sz w:val="20"/>
        </w:rPr>
        <w:t xml:space="preserve">” </w:t>
      </w:r>
      <w:r>
        <w:rPr>
          <w:rFonts w:ascii="Times New Roman" w:hAnsi="Times New Roman"/>
          <w:i/>
          <w:caps w:val="false"/>
          <w:smallCaps w:val="false"/>
          <w:sz w:val="20"/>
        </w:rPr>
        <w:t>or other similar words or the negative of these terms.</w:t>
      </w:r>
      <w:r>
        <w:rPr>
          <w:rFonts w:ascii="Times New Roman" w:hAnsi="Times New Roman"/>
          <w:caps w:val="false"/>
          <w:smallCaps w:val="false"/>
          <w:sz w:val="20"/>
        </w:rPr>
        <w:t> </w:t>
      </w:r>
      <w:r>
        <w:rPr>
          <w:rFonts w:ascii="Times New Roman" w:hAnsi="Times New Roman"/>
          <w:i/>
          <w:caps w:val="false"/>
          <w:smallCaps w:val="false"/>
          <w:sz w:val="20"/>
        </w:rPr>
        <w:t>We have based these forward-looking statements largely on our current expectations about future events and financial trends that we believe may affect our business, financial condition and results of operations. The outcome of the events described in these forward-looking statements is subject to risks, uncertainties and other factors described in Part II, Item 1A. "Risk Factors" and elsewhere in this Quarterly Report on Form 10-Q and Part I, Item 1A. “Risk Factors” of our Annual Report on Form 10-K for the fiscal year ended December 31, 2022, filed with the SEC on March 7, 2023. Accordingly, you should not place undue reliance upon these forward-looking statements. We cannot assure you that the events and circumstances reflected in the forward-looking statements will be achieved or occur, the timing of events and circumstances and actual results could differ materially from those</w:t>
      </w:r>
      <w:r>
        <w:rPr>
          <w:rFonts w:ascii="Times New Roman" w:hAnsi="Times New Roman"/>
          <w:caps w:val="false"/>
          <w:smallCaps w:val="false"/>
          <w:sz w:val="20"/>
        </w:rPr>
        <w:t> </w:t>
      </w:r>
      <w:r>
        <w:rPr>
          <w:rFonts w:ascii="Times New Roman" w:hAnsi="Times New Roman"/>
          <w:i/>
          <w:caps w:val="false"/>
          <w:smallCaps w:val="false"/>
          <w:sz w:val="20"/>
        </w:rPr>
        <w:t>anticipated in the forward-looking statements. Forward-looking statements contained in this report include, but are not limited to, statements about: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the progress of, outcome or and timing of any regulatory approval for any of our product candidates and the expected amount or timing of any payment related thereto under any of our collaboration agreements;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the progress of, timing of and expected amount of expenses associated with our research, development and commercialization activities;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our ability to raise additional funds on commercially reasonable terms, or at all, in order to support our continued operations;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the sufficiency of our cash resources to fund our operating expenses and capital investment requirements for any period;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the expected timing of our clinical trials</w:t>
            </w:r>
            <w:r>
              <w:rPr>
                <w:rFonts w:ascii="Times New Roman" w:hAnsi="Times New Roman"/>
                <w:caps w:val="false"/>
                <w:smallCaps w:val="false"/>
                <w:sz w:val="20"/>
              </w:rPr>
              <w:t> </w:t>
            </w:r>
            <w:r>
              <w:rPr>
                <w:rFonts w:ascii="Times New Roman" w:hAnsi="Times New Roman"/>
                <w:i/>
                <w:caps w:val="false"/>
                <w:smallCaps w:val="false"/>
                <w:sz w:val="20"/>
              </w:rPr>
              <w:t>for our product candidates and the availability of data and results of those trials;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our expectations regarding federal, state and foreign regulatory requirements;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the potential therapeutic benefits and effectiveness of our products and product candidates;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the size and characteristics of the markets that may be addressed by our products and product candidates;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our intention to seek to establish, and the potential benefits to us from, any</w:t>
            </w:r>
            <w:r>
              <w:rPr>
                <w:rFonts w:ascii="Times New Roman" w:hAnsi="Times New Roman"/>
                <w:caps w:val="false"/>
                <w:smallCaps w:val="false"/>
                <w:sz w:val="20"/>
              </w:rPr>
              <w:t> </w:t>
            </w:r>
            <w:r>
              <w:rPr>
                <w:rFonts w:ascii="Times New Roman" w:hAnsi="Times New Roman"/>
                <w:i/>
                <w:caps w:val="false"/>
                <w:smallCaps w:val="false"/>
                <w:sz w:val="20"/>
              </w:rPr>
              <w:t>strategic collaborations or partnerships for the development or sale of our products and product candidates;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our expectations as to future financial performance, expense levels and liquidity sources;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the timing of commercializing our products and product candidates, if approved;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i/>
              </w:rPr>
            </w:pPr>
            <w:r>
              <w:rPr>
                <w:i/>
              </w:rPr>
              <w:t>senior leadership and board member transitions and refreshments;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other factors discussed elsewhere in this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The forward-looking statements made in this report relate only to events as of the date on which the statements are made. We have included or made reference to important factors in the cautionary statements included in this report, particularly in the section entitled "Risk Factors" where we make reference to Part I, Item 1A. “Risk Factors” of our Annual Report on Form 10-K for the fiscal year ended December 31, 2022, filed with the SEC on March 7, 2023, that we believe could cause actual results or events to differ materially from the forward-looking statements that we make. Our forward-looking statements do not reflect the potential impact of any future acquisitions, mergers, dispositions, joint ventures or investments we may make. Except as required by law, we do not assume any intent to update any forward-looking statements after the date on which the statement is made, whether as a result of new information, future events or circumstances or otherwise.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sz w:val="20"/>
        </w:rPr>
      </w:pPr>
      <w:r>
        <w:rPr>
          <w:rFonts w:ascii="Times New Roman" w:hAnsi="Times New Roman"/>
          <w:b/>
          <w:caps/>
          <w:sz w:val="20"/>
        </w:rPr>
        <w:t>Note Regarding Company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Unless the context otherwise requires, we use the terms </w:t>
      </w:r>
      <w:r>
        <w:rPr>
          <w:rFonts w:ascii="Times New Roman" w:hAnsi="Times New Roman"/>
          <w:caps w:val="false"/>
          <w:smallCaps w:val="false"/>
          <w:sz w:val="20"/>
        </w:rPr>
        <w:t>“Zevra</w:t>
      </w:r>
      <w:r>
        <w:rPr>
          <w:rFonts w:ascii="Times New Roman" w:hAnsi="Times New Roman"/>
          <w:i/>
          <w:caps w:val="false"/>
          <w:smallCaps w:val="false"/>
          <w:sz w:val="20"/>
        </w:rPr>
        <w:t>,</w:t>
      </w:r>
      <w:r>
        <w:rPr>
          <w:rFonts w:ascii="Times New Roman" w:hAnsi="Times New Roman"/>
          <w:caps w:val="false"/>
          <w:smallCaps w:val="false"/>
          <w:sz w:val="20"/>
        </w:rPr>
        <w:t>” “</w:t>
      </w:r>
      <w:r>
        <w:rPr>
          <w:rFonts w:ascii="Times New Roman" w:hAnsi="Times New Roman"/>
          <w:i/>
          <w:caps w:val="false"/>
          <w:smallCaps w:val="false"/>
          <w:sz w:val="20"/>
        </w:rPr>
        <w:t>Company,</w:t>
      </w:r>
      <w:r>
        <w:rPr>
          <w:rFonts w:ascii="Times New Roman" w:hAnsi="Times New Roman"/>
          <w:caps w:val="false"/>
          <w:smallCaps w:val="false"/>
          <w:sz w:val="20"/>
        </w:rPr>
        <w:t>” “</w:t>
      </w:r>
      <w:r>
        <w:rPr>
          <w:rFonts w:ascii="Times New Roman" w:hAnsi="Times New Roman"/>
          <w:i/>
          <w:caps w:val="false"/>
          <w:smallCaps w:val="false"/>
          <w:sz w:val="20"/>
        </w:rPr>
        <w:t>we,</w:t>
      </w:r>
      <w:r>
        <w:rPr>
          <w:rFonts w:ascii="Times New Roman" w:hAnsi="Times New Roman"/>
          <w:caps w:val="false"/>
          <w:smallCaps w:val="false"/>
          <w:sz w:val="20"/>
        </w:rPr>
        <w:t>” “</w:t>
      </w:r>
      <w:r>
        <w:rPr>
          <w:rFonts w:ascii="Times New Roman" w:hAnsi="Times New Roman"/>
          <w:i/>
          <w:caps w:val="false"/>
          <w:smallCaps w:val="false"/>
          <w:sz w:val="20"/>
        </w:rPr>
        <w:t>us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w:t>
      </w:r>
      <w:r>
        <w:rPr>
          <w:rFonts w:ascii="Times New Roman" w:hAnsi="Times New Roman"/>
          <w:caps w:val="false"/>
          <w:smallCaps w:val="false"/>
          <w:sz w:val="20"/>
        </w:rPr>
        <w:t>“</w:t>
      </w:r>
      <w:r>
        <w:rPr>
          <w:rFonts w:ascii="Times New Roman" w:hAnsi="Times New Roman"/>
          <w:i/>
          <w:caps w:val="false"/>
          <w:smallCaps w:val="false"/>
          <w:sz w:val="20"/>
        </w:rPr>
        <w:t>our</w:t>
      </w:r>
      <w:r>
        <w:rPr>
          <w:rFonts w:ascii="Times New Roman" w:hAnsi="Times New Roman"/>
          <w:caps w:val="false"/>
          <w:smallCaps w:val="false"/>
          <w:sz w:val="20"/>
        </w:rPr>
        <w:t xml:space="preserve">” </w:t>
      </w:r>
      <w:r>
        <w:rPr>
          <w:rFonts w:ascii="Times New Roman" w:hAnsi="Times New Roman"/>
          <w:i/>
          <w:caps w:val="false"/>
          <w:smallCaps w:val="false"/>
          <w:sz w:val="20"/>
        </w:rPr>
        <w:t>in this</w:t>
      </w:r>
      <w:r>
        <w:rPr>
          <w:rFonts w:ascii="Times New Roman" w:hAnsi="Times New Roman"/>
          <w:caps w:val="false"/>
          <w:smallCaps w:val="false"/>
          <w:sz w:val="20"/>
        </w:rPr>
        <w:t> </w:t>
      </w:r>
      <w:r>
        <w:rPr>
          <w:rFonts w:ascii="Times New Roman" w:hAnsi="Times New Roman"/>
          <w:i/>
          <w:caps w:val="false"/>
          <w:smallCaps w:val="false"/>
          <w:sz w:val="20"/>
        </w:rPr>
        <w:t>Quarterly Report on Form 10-Q to refer to Zevra Therapeutics, In</w:t>
      </w:r>
      <w:r>
        <w:rPr>
          <w:rFonts w:ascii="Times New Roman" w:hAnsi="Times New Roman"/>
          <w:i/>
          <w:caps w:val="false"/>
          <w:smallCaps w:val="false"/>
          <w:sz w:val="20"/>
          <w:shd w:fill="FFFFFF" w:val="clear"/>
        </w:rPr>
        <w:t>c., formerly known as KemPharm, Inc. prior t</w:t>
      </w:r>
      <w:r>
        <w:rPr>
          <w:rFonts w:ascii="Times New Roman" w:hAnsi="Times New Roman"/>
          <w:i/>
          <w:caps w:val="false"/>
          <w:smallCaps w:val="false"/>
          <w:sz w:val="20"/>
        </w:rPr>
        <w:t>o February 21, 2023. We have proprietary rights to a number of trademarks used in this</w:t>
      </w:r>
      <w:r>
        <w:rPr>
          <w:rFonts w:ascii="Times New Roman" w:hAnsi="Times New Roman"/>
          <w:caps w:val="false"/>
          <w:smallCaps w:val="false"/>
          <w:sz w:val="20"/>
        </w:rPr>
        <w:t> </w:t>
      </w:r>
      <w:r>
        <w:rPr>
          <w:rFonts w:ascii="Times New Roman" w:hAnsi="Times New Roman"/>
          <w:i/>
          <w:caps w:val="false"/>
          <w:smallCaps w:val="false"/>
          <w:sz w:val="20"/>
        </w:rPr>
        <w:t>Quarterly Report on Form 10-Q that are important to our business, including LAT</w:t>
      </w:r>
      <w:r>
        <w:rPr>
          <w:rFonts w:ascii="Times New Roman" w:hAnsi="Times New Roman"/>
          <w:caps w:val="false"/>
          <w:smallCaps w:val="false"/>
          <w:sz w:val="20"/>
        </w:rPr>
        <w:t>® </w:t>
      </w:r>
      <w:r>
        <w:rPr>
          <w:rFonts w:ascii="Times New Roman" w:hAnsi="Times New Roman"/>
          <w:i/>
          <w:caps w:val="false"/>
          <w:smallCaps w:val="false"/>
          <w:sz w:val="20"/>
        </w:rPr>
        <w:t>and the Zevra logo. All other trademarks, trade names and service marks appearing in this</w:t>
      </w:r>
      <w:r>
        <w:rPr>
          <w:rFonts w:ascii="Times New Roman" w:hAnsi="Times New Roman"/>
          <w:caps w:val="false"/>
          <w:smallCaps w:val="false"/>
          <w:sz w:val="20"/>
        </w:rPr>
        <w:t> </w:t>
      </w:r>
      <w:r>
        <w:rPr>
          <w:rFonts w:ascii="Times New Roman" w:hAnsi="Times New Roman"/>
          <w:i/>
          <w:caps w:val="false"/>
          <w:smallCaps w:val="false"/>
          <w:sz w:val="20"/>
        </w:rPr>
        <w:t>Quarterly Report on Form 10-Q are the property of their respective owners. Solely for convenience, the trademarks and trade names in this</w:t>
      </w:r>
      <w:r>
        <w:rPr>
          <w:rFonts w:ascii="Times New Roman" w:hAnsi="Times New Roman"/>
          <w:caps w:val="false"/>
          <w:smallCaps w:val="false"/>
          <w:sz w:val="20"/>
        </w:rPr>
        <w:t> </w:t>
      </w:r>
      <w:r>
        <w:rPr>
          <w:rFonts w:ascii="Times New Roman" w:hAnsi="Times New Roman"/>
          <w:i/>
          <w:caps w:val="false"/>
          <w:smallCaps w:val="false"/>
          <w:sz w:val="20"/>
        </w:rPr>
        <w:t>Quarterly Report on Form 10-Q are referred to without the</w:t>
      </w:r>
      <w:r>
        <w:rPr>
          <w:rFonts w:ascii="Times New Roman" w:hAnsi="Times New Roman"/>
          <w:caps w:val="false"/>
          <w:smallCaps w:val="false"/>
          <w:sz w:val="20"/>
        </w:rPr>
        <w:t xml:space="preserve"> ® </w:t>
      </w:r>
      <w:r>
        <w:rPr>
          <w:rFonts w:ascii="Times New Roman" w:hAnsi="Times New Roman"/>
          <w:i/>
          <w:caps w:val="false"/>
          <w:smallCaps w:val="false"/>
          <w:sz w:val="20"/>
        </w:rPr>
        <w:t>and</w:t>
      </w:r>
      <w:r>
        <w:rPr>
          <w:rFonts w:ascii="Times New Roman" w:hAnsi="Times New Roman"/>
          <w:caps w:val="false"/>
          <w:smallCaps w:val="false"/>
          <w:sz w:val="20"/>
        </w:rPr>
        <w:t xml:space="preserve"> ™ </w:t>
      </w:r>
      <w:r>
        <w:rPr>
          <w:rFonts w:ascii="Times New Roman" w:hAnsi="Times New Roman"/>
          <w:i/>
          <w:caps w:val="false"/>
          <w:smallCaps w:val="false"/>
          <w:sz w:val="20"/>
        </w:rPr>
        <w:t>symbols, but such references should not be construed as any indicator that their respective owners will not assert, to the fullest extent under applicable law, their rights thereto.</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3" w:name="part1"/>
      <w:bookmarkEnd w:id="3"/>
      <w:r>
        <w:rPr>
          <w:rFonts w:ascii="Times New Roman;Times;serif" w:hAnsi="Times New Roman;Times;serif"/>
          <w:b/>
          <w:sz w:val="20"/>
        </w:rPr>
        <w:t>PART I — FINANCIAL INFORMATION</w:t>
      </w:r>
    </w:p>
    <w:p>
      <w:pPr>
        <w:pStyle w:val="TextBody"/>
        <w:bidi w:val="0"/>
        <w:spacing w:before="0" w:after="0"/>
        <w:ind w:left="0" w:right="0" w:hanging="0"/>
        <w:jc w:val="both"/>
        <w:rPr/>
      </w:pPr>
      <w:r>
        <w:rPr/>
        <w:t> </w:t>
      </w:r>
    </w:p>
    <w:tbl>
      <w:tblPr>
        <w:tblW w:w="7270" w:type="dxa"/>
        <w:jc w:val="left"/>
        <w:tblInd w:w="0" w:type="dxa"/>
        <w:tblLayout w:type="fixed"/>
        <w:tblCellMar>
          <w:top w:w="0" w:type="dxa"/>
          <w:left w:w="0" w:type="dxa"/>
          <w:bottom w:w="0" w:type="dxa"/>
          <w:right w:w="0" w:type="dxa"/>
        </w:tblCellMar>
      </w:tblPr>
      <w:tblGrid>
        <w:gridCol w:w="740"/>
        <w:gridCol w:w="6530"/>
      </w:tblGrid>
      <w:tr>
        <w:trPr/>
        <w:tc>
          <w:tcPr>
            <w:tcW w:w="740" w:type="dxa"/>
            <w:tcBorders/>
            <w:vAlign w:val="center"/>
          </w:tcPr>
          <w:p>
            <w:pPr>
              <w:pStyle w:val="TableContents"/>
              <w:bidi w:val="0"/>
              <w:spacing w:before="0" w:after="0"/>
              <w:ind w:left="0" w:right="0" w:hanging="0"/>
              <w:jc w:val="both"/>
              <w:rPr>
                <w:rFonts w:ascii="Times New Roman;Times;serif" w:hAnsi="Times New Roman;Times;serif"/>
                <w:b/>
                <w:caps/>
                <w:sz w:val="20"/>
              </w:rPr>
            </w:pPr>
            <w:r>
              <w:rPr>
                <w:rFonts w:ascii="Times New Roman;Times;serif" w:hAnsi="Times New Roman;Times;serif"/>
                <w:b/>
                <w:caps/>
                <w:sz w:val="20"/>
              </w:rPr>
              <w:t>Item 1.</w:t>
            </w:r>
          </w:p>
        </w:tc>
        <w:tc>
          <w:tcPr>
            <w:tcW w:w="6530" w:type="dxa"/>
            <w:tcBorders/>
            <w:vAlign w:val="center"/>
          </w:tcPr>
          <w:p>
            <w:pPr>
              <w:pStyle w:val="TableContents"/>
              <w:bidi w:val="0"/>
              <w:spacing w:before="0" w:after="0"/>
              <w:ind w:left="0" w:right="0" w:hanging="0"/>
              <w:jc w:val="both"/>
              <w:rPr>
                <w:rFonts w:ascii="Times New Roman;Times;serif" w:hAnsi="Times New Roman;Times;serif"/>
                <w:b/>
                <w:caps/>
                <w:sz w:val="20"/>
              </w:rPr>
            </w:pPr>
            <w:r>
              <w:rPr>
                <w:rFonts w:ascii="Times New Roman;Times;serif" w:hAnsi="Times New Roman;Times;serif"/>
                <w:b/>
                <w:caps/>
                <w:sz w:val="20"/>
              </w:rPr>
              <w:t>unaudited condensed CONSOLIDATED Financial Statements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ZEVRA THERAPEUTICS,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par value amounts)</w:t>
      </w:r>
    </w:p>
    <w:p>
      <w:pPr>
        <w:pStyle w:val="TextBody"/>
        <w:bidi w:val="0"/>
        <w:spacing w:before="0" w:after="0"/>
        <w:ind w:left="0" w:right="0" w:hanging="0"/>
        <w:jc w:val="center"/>
        <w:rPr/>
      </w:pPr>
      <w:r>
        <w:rPr/>
        <w:t> </w:t>
      </w:r>
    </w:p>
    <w:tbl>
      <w:tblPr>
        <w:tblW w:w="10205" w:type="dxa"/>
        <w:jc w:val="left"/>
        <w:tblInd w:w="0" w:type="dxa"/>
        <w:tblLayout w:type="fixed"/>
        <w:tblCellMar>
          <w:top w:w="0" w:type="dxa"/>
          <w:left w:w="0" w:type="dxa"/>
          <w:bottom w:w="0" w:type="dxa"/>
          <w:right w:w="0" w:type="dxa"/>
        </w:tblCellMar>
      </w:tblPr>
      <w:tblGrid>
        <w:gridCol w:w="8066"/>
        <w:gridCol w:w="60"/>
        <w:gridCol w:w="125"/>
        <w:gridCol w:w="755"/>
        <w:gridCol w:w="80"/>
        <w:gridCol w:w="60"/>
        <w:gridCol w:w="138"/>
        <w:gridCol w:w="839"/>
        <w:gridCol w:w="82"/>
      </w:tblGrid>
      <w:tr>
        <w:trPr/>
        <w:tc>
          <w:tcPr>
            <w:tcW w:w="806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7"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82" w:type="dxa"/>
            <w:tcBorders/>
            <w:shd w:fill="FFFFFF" w:val="clear"/>
            <w:vAlign w:val="center"/>
          </w:tcPr>
          <w:p>
            <w:pPr>
              <w:pStyle w:val="TableContents"/>
              <w:bidi w:val="0"/>
              <w:spacing w:before="0" w:after="283"/>
              <w:jc w:val="left"/>
              <w:rPr/>
            </w:pPr>
            <w:r>
              <w:rPr/>
              <w:t> </w:t>
            </w:r>
          </w:p>
        </w:tc>
      </w:tr>
      <w:tr>
        <w:trPr/>
        <w:tc>
          <w:tcPr>
            <w:tcW w:w="806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066"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8066"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8066" w:type="dxa"/>
            <w:tcBorders/>
            <w:shd w:fill="CCEEFF" w:val="clear"/>
            <w:vAlign w:val="center"/>
          </w:tcPr>
          <w:p>
            <w:pPr>
              <w:pStyle w:val="TableContents"/>
              <w:bidi w:val="0"/>
              <w:spacing w:before="0" w:after="0"/>
              <w:ind w:left="360" w:right="360" w:hanging="0"/>
              <w:jc w:val="left"/>
              <w:rPr>
                <w:rFonts w:ascii="Times New Roman" w:hAnsi="Times New Roman"/>
                <w:sz w:val="20"/>
              </w:rPr>
            </w:pPr>
            <w:r>
              <w:rPr>
                <w:rFonts w:ascii="Times New Roman" w:hAnsi="Times New Roman"/>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40,181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3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65,466</w:t>
            </w:r>
          </w:p>
        </w:tc>
        <w:tc>
          <w:tcPr>
            <w:tcW w:w="82" w:type="dxa"/>
            <w:tcBorders/>
            <w:shd w:fill="CCEEFF" w:val="clear"/>
            <w:vAlign w:val="center"/>
          </w:tcPr>
          <w:p>
            <w:pPr>
              <w:pStyle w:val="TableContents"/>
              <w:bidi w:val="0"/>
              <w:spacing w:before="0" w:after="283"/>
              <w:jc w:val="left"/>
              <w:rPr/>
            </w:pPr>
            <w:r>
              <w:rPr/>
              <w:t> </w:t>
            </w:r>
          </w:p>
        </w:tc>
      </w:tr>
      <w:tr>
        <w:trPr/>
        <w:tc>
          <w:tcPr>
            <w:tcW w:w="8066" w:type="dxa"/>
            <w:tcBorders/>
            <w:shd w:fill="FFFFFF" w:val="clear"/>
            <w:vAlign w:val="center"/>
          </w:tcPr>
          <w:p>
            <w:pPr>
              <w:pStyle w:val="TableContents"/>
              <w:bidi w:val="0"/>
              <w:spacing w:before="0" w:after="0"/>
              <w:ind w:left="360" w:right="360" w:hanging="0"/>
              <w:jc w:val="left"/>
              <w:rPr>
                <w:rFonts w:ascii="Times New Roman" w:hAnsi="Times New Roman"/>
                <w:sz w:val="20"/>
              </w:rPr>
            </w:pPr>
            <w:r>
              <w:rPr>
                <w:rFonts w:ascii="Times New Roman" w:hAnsi="Times New Roman"/>
                <w:sz w:val="20"/>
              </w:rPr>
              <w:t>Securities at fair value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34,403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16,900</w:t>
            </w:r>
          </w:p>
        </w:tc>
        <w:tc>
          <w:tcPr>
            <w:tcW w:w="82" w:type="dxa"/>
            <w:tcBorders/>
            <w:shd w:fill="FFFFFF" w:val="clear"/>
            <w:vAlign w:val="center"/>
          </w:tcPr>
          <w:p>
            <w:pPr>
              <w:pStyle w:val="TableContents"/>
              <w:bidi w:val="0"/>
              <w:spacing w:before="0" w:after="283"/>
              <w:jc w:val="left"/>
              <w:rPr/>
            </w:pPr>
            <w:r>
              <w:rPr/>
              <w:t> </w:t>
            </w:r>
          </w:p>
        </w:tc>
      </w:tr>
      <w:tr>
        <w:trPr/>
        <w:tc>
          <w:tcPr>
            <w:tcW w:w="8066" w:type="dxa"/>
            <w:tcBorders/>
            <w:shd w:fill="CCEEFF" w:val="clear"/>
            <w:vAlign w:val="center"/>
          </w:tcPr>
          <w:p>
            <w:pPr>
              <w:pStyle w:val="TableContents"/>
              <w:bidi w:val="0"/>
              <w:spacing w:before="0" w:after="0"/>
              <w:ind w:left="360" w:right="360" w:hanging="0"/>
              <w:jc w:val="left"/>
              <w:rPr>
                <w:rFonts w:ascii="Times New Roman" w:hAnsi="Times New Roman"/>
                <w:sz w:val="20"/>
              </w:rPr>
            </w:pPr>
            <w:r>
              <w:rPr>
                <w:rFonts w:ascii="Times New Roman" w:hAnsi="Times New Roman"/>
                <w:sz w:val="20"/>
              </w:rPr>
              <w:t>Short-term investments - other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20,700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481</w:t>
            </w:r>
          </w:p>
        </w:tc>
        <w:tc>
          <w:tcPr>
            <w:tcW w:w="82" w:type="dxa"/>
            <w:tcBorders/>
            <w:shd w:fill="CCEEFF" w:val="clear"/>
            <w:vAlign w:val="center"/>
          </w:tcPr>
          <w:p>
            <w:pPr>
              <w:pStyle w:val="TableContents"/>
              <w:bidi w:val="0"/>
              <w:spacing w:before="0" w:after="283"/>
              <w:jc w:val="left"/>
              <w:rPr/>
            </w:pPr>
            <w:r>
              <w:rPr/>
              <w:t> </w:t>
            </w:r>
          </w:p>
        </w:tc>
      </w:tr>
      <w:tr>
        <w:trPr/>
        <w:tc>
          <w:tcPr>
            <w:tcW w:w="8066" w:type="dxa"/>
            <w:tcBorders/>
            <w:shd w:fill="FFFFFF" w:val="clear"/>
            <w:vAlign w:val="center"/>
          </w:tcPr>
          <w:p>
            <w:pPr>
              <w:pStyle w:val="TableContents"/>
              <w:bidi w:val="0"/>
              <w:spacing w:before="0" w:after="0"/>
              <w:ind w:left="360" w:right="360" w:hanging="0"/>
              <w:jc w:val="left"/>
              <w:rPr>
                <w:rFonts w:ascii="Times New Roman" w:hAnsi="Times New Roman"/>
                <w:sz w:val="20"/>
              </w:rPr>
            </w:pPr>
            <w:r>
              <w:rPr>
                <w:rFonts w:ascii="Times New Roman" w:hAnsi="Times New Roman"/>
                <w:sz w:val="20"/>
              </w:rPr>
              <w:t>Accounts and other receivables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7,822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8,299</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806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Prepaid expenses and other current assets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1,174</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1,877</w:t>
            </w:r>
          </w:p>
        </w:tc>
        <w:tc>
          <w:tcPr>
            <w:tcW w:w="82"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r>
      <w:tr>
        <w:trPr/>
        <w:tc>
          <w:tcPr>
            <w:tcW w:w="8066" w:type="dxa"/>
            <w:tcBorders/>
            <w:shd w:fill="FFFFFF" w:val="clear"/>
            <w:vAlign w:val="center"/>
          </w:tcPr>
          <w:p>
            <w:pPr>
              <w:pStyle w:val="TableContents"/>
              <w:bidi w:val="0"/>
              <w:spacing w:before="0" w:after="0"/>
              <w:ind w:left="540" w:right="180" w:hanging="0"/>
              <w:jc w:val="left"/>
              <w:rPr>
                <w:rFonts w:ascii="Times New Roman" w:hAnsi="Times New Roman"/>
                <w:caps w:val="false"/>
                <w:smallCaps w:val="false"/>
                <w:sz w:val="20"/>
              </w:rPr>
            </w:pPr>
            <w:r>
              <w:rPr>
                <w:rFonts w:ascii="Times New Roman" w:hAnsi="Times New Roman"/>
                <w:caps w:val="false"/>
                <w:smallCaps w:val="false"/>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104,280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83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93,023</w:t>
            </w:r>
          </w:p>
        </w:tc>
        <w:tc>
          <w:tcPr>
            <w:tcW w:w="82" w:type="dxa"/>
            <w:tcBorders/>
            <w:shd w:fill="FFFFFF" w:val="clear"/>
            <w:vAlign w:val="center"/>
          </w:tcPr>
          <w:p>
            <w:pPr>
              <w:pStyle w:val="TableContents"/>
              <w:bidi w:val="0"/>
              <w:spacing w:before="0" w:after="283"/>
              <w:jc w:val="left"/>
              <w:rPr/>
            </w:pPr>
            <w:r>
              <w:rPr/>
              <w:t> </w:t>
            </w:r>
          </w:p>
        </w:tc>
      </w:tr>
      <w:tr>
        <w:trPr/>
        <w:tc>
          <w:tcPr>
            <w:tcW w:w="806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Inventories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671</w:t>
            </w:r>
          </w:p>
        </w:tc>
        <w:tc>
          <w:tcPr>
            <w:tcW w:w="82" w:type="dxa"/>
            <w:tcBorders/>
            <w:shd w:fill="CCEEFF" w:val="clear"/>
            <w:vAlign w:val="center"/>
          </w:tcPr>
          <w:p>
            <w:pPr>
              <w:pStyle w:val="TableContents"/>
              <w:bidi w:val="0"/>
              <w:spacing w:before="0" w:after="283"/>
              <w:jc w:val="left"/>
              <w:rPr/>
            </w:pPr>
            <w:r>
              <w:rPr/>
              <w:t> </w:t>
            </w:r>
          </w:p>
        </w:tc>
      </w:tr>
      <w:tr>
        <w:trPr/>
        <w:tc>
          <w:tcPr>
            <w:tcW w:w="806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Property and equipment,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794</w:t>
            </w:r>
          </w:p>
        </w:tc>
        <w:tc>
          <w:tcPr>
            <w:tcW w:w="82" w:type="dxa"/>
            <w:tcBorders/>
            <w:shd w:fill="FFFFFF" w:val="clear"/>
            <w:vAlign w:val="center"/>
          </w:tcPr>
          <w:p>
            <w:pPr>
              <w:pStyle w:val="TableContents"/>
              <w:bidi w:val="0"/>
              <w:spacing w:before="0" w:after="283"/>
              <w:jc w:val="left"/>
              <w:rPr/>
            </w:pPr>
            <w:r>
              <w:rPr/>
              <w:t> </w:t>
            </w:r>
          </w:p>
        </w:tc>
      </w:tr>
      <w:tr>
        <w:trPr/>
        <w:tc>
          <w:tcPr>
            <w:tcW w:w="806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988</w:t>
            </w:r>
          </w:p>
        </w:tc>
        <w:tc>
          <w:tcPr>
            <w:tcW w:w="82" w:type="dxa"/>
            <w:tcBorders/>
            <w:shd w:fill="CCEEFF" w:val="clear"/>
            <w:vAlign w:val="center"/>
          </w:tcPr>
          <w:p>
            <w:pPr>
              <w:pStyle w:val="TableContents"/>
              <w:bidi w:val="0"/>
              <w:spacing w:before="0" w:after="283"/>
              <w:jc w:val="left"/>
              <w:rPr/>
            </w:pPr>
            <w:r>
              <w:rPr/>
              <w:t> </w:t>
            </w:r>
          </w:p>
        </w:tc>
      </w:tr>
      <w:tr>
        <w:trPr/>
        <w:tc>
          <w:tcPr>
            <w:tcW w:w="806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Long-term investments - other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20,000</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806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long-term assets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53</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53</w:t>
            </w:r>
          </w:p>
        </w:tc>
        <w:tc>
          <w:tcPr>
            <w:tcW w:w="82"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r>
      <w:tr>
        <w:trPr/>
        <w:tc>
          <w:tcPr>
            <w:tcW w:w="806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106,595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115,529</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806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8066"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806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8066" w:type="dxa"/>
            <w:tcBorders/>
            <w:shd w:fill="FFFFFF" w:val="clear"/>
            <w:vAlign w:val="center"/>
          </w:tcPr>
          <w:p>
            <w:pPr>
              <w:pStyle w:val="TableContents"/>
              <w:bidi w:val="0"/>
              <w:spacing w:before="0" w:after="0"/>
              <w:ind w:left="180" w:right="180" w:hanging="0"/>
              <w:jc w:val="left"/>
              <w:rPr>
                <w:rFonts w:ascii="Times New Roman" w:hAnsi="Times New Roman"/>
                <w:sz w:val="20"/>
              </w:rPr>
            </w:pPr>
            <w:r>
              <w:rPr>
                <w:rFonts w:ascii="Times New Roman" w:hAnsi="Times New Roman"/>
                <w:sz w:val="20"/>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10,098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3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6,169</w:t>
            </w:r>
          </w:p>
        </w:tc>
        <w:tc>
          <w:tcPr>
            <w:tcW w:w="82" w:type="dxa"/>
            <w:tcBorders/>
            <w:shd w:fill="FFFFFF" w:val="clear"/>
            <w:vAlign w:val="center"/>
          </w:tcPr>
          <w:p>
            <w:pPr>
              <w:pStyle w:val="TableContents"/>
              <w:bidi w:val="0"/>
              <w:spacing w:before="0" w:after="283"/>
              <w:jc w:val="left"/>
              <w:rPr/>
            </w:pPr>
            <w:r>
              <w:rPr/>
              <w:t> </w:t>
            </w:r>
          </w:p>
        </w:tc>
      </w:tr>
      <w:tr>
        <w:trPr/>
        <w:tc>
          <w:tcPr>
            <w:tcW w:w="8066" w:type="dxa"/>
            <w:tcBorders/>
            <w:shd w:fill="CCEEFF" w:val="clear"/>
            <w:vAlign w:val="center"/>
          </w:tcPr>
          <w:p>
            <w:pPr>
              <w:pStyle w:val="TableContents"/>
              <w:bidi w:val="0"/>
              <w:spacing w:before="0" w:after="0"/>
              <w:ind w:left="180" w:right="180" w:hanging="0"/>
              <w:jc w:val="left"/>
              <w:rPr>
                <w:rFonts w:ascii="Times New Roman" w:hAnsi="Times New Roman"/>
                <w:sz w:val="20"/>
              </w:rPr>
            </w:pPr>
            <w:r>
              <w:rPr>
                <w:rFonts w:ascii="Times New Roman" w:hAnsi="Times New Roman"/>
                <w:sz w:val="20"/>
              </w:rPr>
              <w:t>Current portion of operating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480</w:t>
            </w:r>
          </w:p>
        </w:tc>
        <w:tc>
          <w:tcPr>
            <w:tcW w:w="82" w:type="dxa"/>
            <w:tcBorders/>
            <w:shd w:fill="CCEEFF" w:val="clear"/>
            <w:vAlign w:val="center"/>
          </w:tcPr>
          <w:p>
            <w:pPr>
              <w:pStyle w:val="TableContents"/>
              <w:bidi w:val="0"/>
              <w:spacing w:before="0" w:after="283"/>
              <w:jc w:val="left"/>
              <w:rPr/>
            </w:pPr>
            <w:r>
              <w:rPr/>
              <w:t> </w:t>
            </w:r>
          </w:p>
        </w:tc>
      </w:tr>
      <w:tr>
        <w:trPr/>
        <w:tc>
          <w:tcPr>
            <w:tcW w:w="8066" w:type="dxa"/>
            <w:tcBorders/>
            <w:shd w:fill="FFFFFF" w:val="clear"/>
            <w:vAlign w:val="center"/>
          </w:tcPr>
          <w:p>
            <w:pPr>
              <w:pStyle w:val="TableContents"/>
              <w:bidi w:val="0"/>
              <w:spacing w:before="0" w:after="0"/>
              <w:ind w:left="180" w:right="180" w:hanging="0"/>
              <w:jc w:val="left"/>
              <w:rPr>
                <w:rFonts w:ascii="Times New Roman" w:hAnsi="Times New Roman"/>
                <w:sz w:val="20"/>
              </w:rPr>
            </w:pPr>
            <w:r>
              <w:rPr>
                <w:rFonts w:ascii="Times New Roman" w:hAnsi="Times New Roman"/>
                <w:sz w:val="20"/>
              </w:rPr>
              <w:t>Current portion of discount and rebate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4,746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4,655</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806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current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302</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422</w:t>
            </w:r>
          </w:p>
        </w:tc>
        <w:tc>
          <w:tcPr>
            <w:tcW w:w="82"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r>
      <w:tr>
        <w:trPr/>
        <w:tc>
          <w:tcPr>
            <w:tcW w:w="8066"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83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11,726</w:t>
            </w:r>
          </w:p>
        </w:tc>
        <w:tc>
          <w:tcPr>
            <w:tcW w:w="82" w:type="dxa"/>
            <w:tcBorders/>
            <w:shd w:fill="FFFFFF" w:val="clear"/>
            <w:vAlign w:val="center"/>
          </w:tcPr>
          <w:p>
            <w:pPr>
              <w:pStyle w:val="TableContents"/>
              <w:bidi w:val="0"/>
              <w:spacing w:before="0" w:after="283"/>
              <w:jc w:val="left"/>
              <w:rPr/>
            </w:pPr>
            <w:r>
              <w:rPr/>
              <w:t> </w:t>
            </w:r>
          </w:p>
        </w:tc>
      </w:tr>
      <w:tr>
        <w:trPr/>
        <w:tc>
          <w:tcPr>
            <w:tcW w:w="806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Line of credit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12,914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12,800</w:t>
            </w:r>
          </w:p>
        </w:tc>
        <w:tc>
          <w:tcPr>
            <w:tcW w:w="82" w:type="dxa"/>
            <w:tcBorders/>
            <w:shd w:fill="CCEEFF" w:val="clear"/>
            <w:vAlign w:val="center"/>
          </w:tcPr>
          <w:p>
            <w:pPr>
              <w:pStyle w:val="TableContents"/>
              <w:bidi w:val="0"/>
              <w:spacing w:before="0" w:after="283"/>
              <w:jc w:val="left"/>
              <w:rPr/>
            </w:pPr>
            <w:r>
              <w:rPr/>
              <w:t> </w:t>
            </w:r>
          </w:p>
        </w:tc>
      </w:tr>
      <w:tr>
        <w:trPr/>
        <w:tc>
          <w:tcPr>
            <w:tcW w:w="806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Derivative and warrant liability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w:t>
            </w:r>
          </w:p>
        </w:tc>
        <w:tc>
          <w:tcPr>
            <w:tcW w:w="82" w:type="dxa"/>
            <w:tcBorders/>
            <w:shd w:fill="FFFFFF" w:val="clear"/>
            <w:vAlign w:val="center"/>
          </w:tcPr>
          <w:p>
            <w:pPr>
              <w:pStyle w:val="TableContents"/>
              <w:bidi w:val="0"/>
              <w:spacing w:before="0" w:after="283"/>
              <w:jc w:val="left"/>
              <w:rPr/>
            </w:pPr>
            <w:r>
              <w:rPr/>
              <w:t> </w:t>
            </w:r>
          </w:p>
        </w:tc>
      </w:tr>
      <w:tr>
        <w:trPr/>
        <w:tc>
          <w:tcPr>
            <w:tcW w:w="806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lease liabilities, less current portion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843</w:t>
            </w:r>
          </w:p>
        </w:tc>
        <w:tc>
          <w:tcPr>
            <w:tcW w:w="82" w:type="dxa"/>
            <w:tcBorders/>
            <w:shd w:fill="CCEEFF" w:val="clear"/>
            <w:vAlign w:val="center"/>
          </w:tcPr>
          <w:p>
            <w:pPr>
              <w:pStyle w:val="TableContents"/>
              <w:bidi w:val="0"/>
              <w:spacing w:before="0" w:after="283"/>
              <w:jc w:val="left"/>
              <w:rPr/>
            </w:pPr>
            <w:r>
              <w:rPr/>
              <w:t> </w:t>
            </w:r>
          </w:p>
        </w:tc>
      </w:tr>
      <w:tr>
        <w:trPr/>
        <w:tc>
          <w:tcPr>
            <w:tcW w:w="806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Discount and rebate liabilities, less current portion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5,764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4,327</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806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long-term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158</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w:t>
            </w:r>
          </w:p>
        </w:tc>
        <w:tc>
          <w:tcPr>
            <w:tcW w:w="82"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r>
      <w:tr>
        <w:trPr/>
        <w:tc>
          <w:tcPr>
            <w:tcW w:w="806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35,191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29,722</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06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806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Commitments and contingencies (Note 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806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806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8066"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Preferred stock:</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8066" w:type="dxa"/>
            <w:tcBorders/>
            <w:shd w:fill="FFFFFF" w:val="clear"/>
            <w:vAlign w:val="center"/>
          </w:tcPr>
          <w:p>
            <w:pPr>
              <w:pStyle w:val="TableContents"/>
              <w:bidi w:val="0"/>
              <w:spacing w:before="0" w:after="0"/>
              <w:ind w:left="720" w:right="0" w:hanging="180"/>
              <w:jc w:val="both"/>
              <w:rPr>
                <w:rFonts w:ascii="Times New Roman" w:hAnsi="Times New Roman"/>
                <w:caps w:val="false"/>
                <w:smallCaps w:val="false"/>
                <w:sz w:val="20"/>
              </w:rPr>
            </w:pPr>
            <w:r>
              <w:rPr>
                <w:rFonts w:ascii="Times New Roman" w:hAnsi="Times New Roman"/>
                <w:caps w:val="false"/>
                <w:smallCaps w:val="false"/>
                <w:sz w:val="20"/>
              </w:rPr>
              <w:t>Undesignated preferred stock, $0.0001 par value, 10,000,000 shares authorized, no shares issued or outstanding as of March 31, 2023 or December 31, 2022</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839" w:type="dxa"/>
            <w:tcBorders/>
            <w:shd w:fill="FFFFFF" w:val="clear"/>
            <w:vAlign w:val="center"/>
          </w:tcPr>
          <w:p>
            <w:pPr>
              <w:pStyle w:val="TableContents"/>
              <w:bidi w:val="0"/>
              <w:spacing w:before="0" w:after="283"/>
              <w:ind w:left="0" w:right="0" w:hanging="0"/>
              <w:jc w:val="right"/>
              <w:rPr/>
            </w:pPr>
            <w:r>
              <w:rPr/>
              <w:t>—</w:t>
            </w:r>
          </w:p>
        </w:tc>
        <w:tc>
          <w:tcPr>
            <w:tcW w:w="82" w:type="dxa"/>
            <w:tcBorders/>
            <w:shd w:fill="FFFFFF" w:val="clear"/>
            <w:vAlign w:val="center"/>
          </w:tcPr>
          <w:p>
            <w:pPr>
              <w:pStyle w:val="TableContents"/>
              <w:bidi w:val="0"/>
              <w:spacing w:before="0" w:after="283"/>
              <w:jc w:val="left"/>
              <w:rPr/>
            </w:pPr>
            <w:r>
              <w:rPr/>
              <w:t> </w:t>
            </w:r>
          </w:p>
        </w:tc>
      </w:tr>
      <w:tr>
        <w:trPr/>
        <w:tc>
          <w:tcPr>
            <w:tcW w:w="8066" w:type="dxa"/>
            <w:tcBorders/>
            <w:shd w:fill="CCEEFF" w:val="clear"/>
            <w:vAlign w:val="center"/>
          </w:tcPr>
          <w:p>
            <w:pPr>
              <w:pStyle w:val="TableContents"/>
              <w:bidi w:val="0"/>
              <w:spacing w:before="0" w:after="0"/>
              <w:ind w:left="180" w:right="180" w:hanging="0"/>
              <w:jc w:val="both"/>
              <w:rPr>
                <w:rFonts w:ascii="Times New Roman" w:hAnsi="Times New Roman"/>
                <w:sz w:val="20"/>
              </w:rPr>
            </w:pPr>
            <w:r>
              <w:rPr>
                <w:rFonts w:ascii="Times New Roman" w:hAnsi="Times New Roman"/>
                <w:sz w:val="20"/>
              </w:rPr>
              <w:t>Common stock, $0.0001 par value, 250,000,000 shares authorized, 35,457,496 shares issued and 33,881,804 shares outstanding as of March 31, 2023; 35,450,257 shares issued and 34,540,304 shares outstanding as of December 31, 2022</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w:t>
            </w:r>
          </w:p>
        </w:tc>
        <w:tc>
          <w:tcPr>
            <w:tcW w:w="82" w:type="dxa"/>
            <w:tcBorders/>
            <w:shd w:fill="CCEEFF" w:val="clear"/>
            <w:vAlign w:val="center"/>
          </w:tcPr>
          <w:p>
            <w:pPr>
              <w:pStyle w:val="TableContents"/>
              <w:bidi w:val="0"/>
              <w:spacing w:before="0" w:after="283"/>
              <w:jc w:val="left"/>
              <w:rPr/>
            </w:pPr>
            <w:r>
              <w:rPr/>
              <w:t> </w:t>
            </w:r>
          </w:p>
        </w:tc>
      </w:tr>
      <w:tr>
        <w:trPr/>
        <w:tc>
          <w:tcPr>
            <w:tcW w:w="8066" w:type="dxa"/>
            <w:tcBorders/>
            <w:shd w:fill="FFFFFF" w:val="clear"/>
            <w:vAlign w:val="center"/>
          </w:tcPr>
          <w:p>
            <w:pPr>
              <w:pStyle w:val="TableContents"/>
              <w:bidi w:val="0"/>
              <w:spacing w:before="0" w:after="0"/>
              <w:ind w:left="180" w:right="180" w:hanging="0"/>
              <w:jc w:val="left"/>
              <w:rPr>
                <w:rFonts w:ascii="Times New Roman" w:hAnsi="Times New Roman"/>
                <w:sz w:val="20"/>
              </w:rPr>
            </w:pPr>
            <w:r>
              <w:rPr>
                <w:rFonts w:ascii="Times New Roman" w:hAnsi="Times New Roman"/>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402,786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401,799</w:t>
            </w:r>
          </w:p>
        </w:tc>
        <w:tc>
          <w:tcPr>
            <w:tcW w:w="82" w:type="dxa"/>
            <w:tcBorders/>
            <w:shd w:fill="FFFFFF" w:val="clear"/>
            <w:vAlign w:val="center"/>
          </w:tcPr>
          <w:p>
            <w:pPr>
              <w:pStyle w:val="TableContents"/>
              <w:bidi w:val="0"/>
              <w:spacing w:before="0" w:after="283"/>
              <w:jc w:val="left"/>
              <w:rPr/>
            </w:pPr>
            <w:r>
              <w:rPr/>
              <w:t> </w:t>
            </w:r>
          </w:p>
        </w:tc>
      </w:tr>
      <w:tr>
        <w:trPr/>
        <w:tc>
          <w:tcPr>
            <w:tcW w:w="8066" w:type="dxa"/>
            <w:tcBorders/>
            <w:shd w:fill="CCEEFF" w:val="clear"/>
            <w:vAlign w:val="center"/>
          </w:tcPr>
          <w:p>
            <w:pPr>
              <w:pStyle w:val="TableContents"/>
              <w:bidi w:val="0"/>
              <w:spacing w:before="0" w:after="0"/>
              <w:ind w:left="180" w:right="180" w:hanging="0"/>
              <w:jc w:val="left"/>
              <w:rPr>
                <w:rFonts w:ascii="Times New Roman" w:hAnsi="Times New Roman"/>
                <w:sz w:val="20"/>
              </w:rPr>
            </w:pPr>
            <w:r>
              <w:rPr>
                <w:rFonts w:ascii="Times New Roman" w:hAnsi="Times New Roman"/>
                <w:sz w:val="20"/>
              </w:rPr>
              <w:t>Treasury stock, at cost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(10,983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(7,536</w:t>
            </w:r>
          </w:p>
        </w:tc>
        <w:tc>
          <w:tcPr>
            <w:tcW w:w="8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8066" w:type="dxa"/>
            <w:tcBorders/>
            <w:shd w:fill="FFFFFF" w:val="clear"/>
            <w:vAlign w:val="center"/>
          </w:tcPr>
          <w:p>
            <w:pPr>
              <w:pStyle w:val="TableContents"/>
              <w:bidi w:val="0"/>
              <w:spacing w:before="0" w:after="0"/>
              <w:ind w:left="180" w:right="180" w:hanging="0"/>
              <w:jc w:val="left"/>
              <w:rPr>
                <w:rFonts w:ascii="Times New Roman" w:hAnsi="Times New Roman"/>
                <w:sz w:val="20"/>
              </w:rPr>
            </w:pPr>
            <w:r>
              <w:rPr>
                <w:rFonts w:ascii="Times New Roman" w:hAnsi="Times New Roman"/>
                <w:sz w:val="20"/>
              </w:rPr>
              <w:t>Accumulated deficit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(320,339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(308,572</w:t>
            </w:r>
          </w:p>
        </w:tc>
        <w:tc>
          <w:tcPr>
            <w:tcW w:w="8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806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Accumulated other comprehensive (loss) income</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(63</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113</w:t>
            </w:r>
          </w:p>
        </w:tc>
        <w:tc>
          <w:tcPr>
            <w:tcW w:w="82"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r>
      <w:tr>
        <w:trPr/>
        <w:tc>
          <w:tcPr>
            <w:tcW w:w="8066"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71,404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85,807</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06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 and stockholders'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106,595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115,529</w:t>
            </w:r>
          </w:p>
        </w:tc>
        <w:tc>
          <w:tcPr>
            <w:tcW w:w="8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See accompanying notes to unaudited condensed consolidated financial statements.</w:t>
      </w:r>
    </w:p>
    <w:p>
      <w:pPr>
        <w:pStyle w:val="TextBody"/>
        <w:bidi w:val="0"/>
        <w:spacing w:before="0" w:after="283"/>
        <w:jc w:val="left"/>
        <w:rPr/>
      </w:pPr>
      <w:r>
        <w:rPr/>
        <w:t xml:space="preserve">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pPr>
      <w:r>
        <w:rPr/>
        <w:t> </w:t>
      </w:r>
      <w:bookmarkStart w:id="4" w:name="ops"/>
      <w:bookmarkEnd w:id="4"/>
      <w:r>
        <w:rPr>
          <w:rFonts w:ascii="Times New Roman;Times;serif" w:hAnsi="Times New Roman;Times;serif"/>
          <w:b/>
          <w:sz w:val="20"/>
        </w:rPr>
        <w:t>ZEVRA THERAPEUTICS,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CONDENSED 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before="0" w:after="0"/>
        <w:ind w:left="0" w:right="0" w:hanging="0"/>
        <w:jc w:val="center"/>
        <w:rPr/>
      </w:pPr>
      <w:r>
        <w:rPr/>
        <w:t> </w:t>
      </w:r>
    </w:p>
    <w:tbl>
      <w:tblPr>
        <w:tblW w:w="8143" w:type="dxa"/>
        <w:jc w:val="left"/>
        <w:tblInd w:w="0" w:type="dxa"/>
        <w:tblLayout w:type="fixed"/>
        <w:tblCellMar>
          <w:top w:w="0" w:type="dxa"/>
          <w:left w:w="0" w:type="dxa"/>
          <w:bottom w:w="0" w:type="dxa"/>
          <w:right w:w="0" w:type="dxa"/>
        </w:tblCellMar>
      </w:tblPr>
      <w:tblGrid>
        <w:gridCol w:w="5420"/>
        <w:gridCol w:w="60"/>
        <w:gridCol w:w="141"/>
        <w:gridCol w:w="1072"/>
        <w:gridCol w:w="90"/>
        <w:gridCol w:w="67"/>
        <w:gridCol w:w="141"/>
        <w:gridCol w:w="1072"/>
        <w:gridCol w:w="80"/>
      </w:tblGrid>
      <w:tr>
        <w:trPr/>
        <w:tc>
          <w:tcPr>
            <w:tcW w:w="5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8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March 31,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12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Revenue, net</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2,879</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3,965</w:t>
            </w:r>
          </w:p>
        </w:tc>
        <w:tc>
          <w:tcPr>
            <w:tcW w:w="8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180" w:right="0" w:hanging="0"/>
              <w:jc w:val="left"/>
              <w:rPr/>
            </w:pPr>
            <w:r>
              <w:rPr/>
              <w:t> </w:t>
            </w:r>
          </w:p>
        </w:tc>
      </w:tr>
      <w:tr>
        <w:trPr/>
        <w:tc>
          <w:tcPr>
            <w:tcW w:w="5420" w:type="dxa"/>
            <w:tcBorders/>
            <w:shd w:fill="CCEEFF" w:val="clear"/>
            <w:vAlign w:val="center"/>
          </w:tcPr>
          <w:p>
            <w:pPr>
              <w:pStyle w:val="TableContents"/>
              <w:bidi w:val="0"/>
              <w:spacing w:before="0" w:after="0"/>
              <w:ind w:left="360" w:right="180" w:hanging="0"/>
              <w:jc w:val="left"/>
              <w:rPr>
                <w:rFonts w:ascii="Times New Roman" w:hAnsi="Times New Roman"/>
                <w:sz w:val="20"/>
              </w:rPr>
            </w:pPr>
            <w:r>
              <w:rPr>
                <w:rFonts w:ascii="Times New Roman" w:hAnsi="Times New Roman"/>
                <w:sz w:val="20"/>
              </w:rPr>
              <w:t>Cost of revenue</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10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10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w:t>
            </w:r>
          </w:p>
        </w:tc>
        <w:tc>
          <w:tcPr>
            <w:tcW w:w="80" w:type="dxa"/>
            <w:tcBorders/>
            <w:shd w:fill="CCEEFF" w:val="clear"/>
            <w:vAlign w:val="center"/>
          </w:tcPr>
          <w:p>
            <w:pPr>
              <w:pStyle w:val="TableContents"/>
              <w:bidi w:val="0"/>
              <w:spacing w:before="0" w:after="283"/>
              <w:ind w:left="180" w:right="0" w:hanging="0"/>
              <w:jc w:val="left"/>
              <w:rPr/>
            </w:pPr>
            <w:r>
              <w:rPr/>
              <w:t> </w:t>
            </w:r>
          </w:p>
        </w:tc>
      </w:tr>
      <w:tr>
        <w:trPr/>
        <w:tc>
          <w:tcPr>
            <w:tcW w:w="5420" w:type="dxa"/>
            <w:tcBorders/>
            <w:shd w:fill="FFFFFF" w:val="clear"/>
            <w:vAlign w:val="center"/>
          </w:tcPr>
          <w:p>
            <w:pPr>
              <w:pStyle w:val="TableContents"/>
              <w:bidi w:val="0"/>
              <w:spacing w:before="0" w:after="0"/>
              <w:ind w:left="360" w:right="180" w:hanging="0"/>
              <w:jc w:val="left"/>
              <w:rPr>
                <w:rFonts w:ascii="Times New Roman" w:hAnsi="Times New Roman"/>
                <w:sz w:val="20"/>
              </w:rPr>
            </w:pPr>
            <w:r>
              <w:rPr>
                <w:rFonts w:ascii="Times New Roman" w:hAnsi="Times New Roman"/>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10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8,844</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10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3,082</w:t>
            </w:r>
          </w:p>
        </w:tc>
        <w:tc>
          <w:tcPr>
            <w:tcW w:w="80" w:type="dxa"/>
            <w:tcBorders/>
            <w:shd w:fill="FFFFFF" w:val="clear"/>
            <w:vAlign w:val="center"/>
          </w:tcPr>
          <w:p>
            <w:pPr>
              <w:pStyle w:val="TableContents"/>
              <w:bidi w:val="0"/>
              <w:spacing w:before="0" w:after="283"/>
              <w:ind w:left="180" w:right="0" w:hanging="0"/>
              <w:jc w:val="left"/>
              <w:rPr/>
            </w:pPr>
            <w:r>
              <w:rPr/>
              <w:t> </w:t>
            </w:r>
          </w:p>
        </w:tc>
      </w:tr>
      <w:tr>
        <w:trPr/>
        <w:tc>
          <w:tcPr>
            <w:tcW w:w="5420" w:type="dxa"/>
            <w:tcBorders/>
            <w:shd w:fill="CCEEFF" w:val="clear"/>
            <w:vAlign w:val="center"/>
          </w:tcPr>
          <w:p>
            <w:pPr>
              <w:pStyle w:val="TableContents"/>
              <w:bidi w:val="0"/>
              <w:spacing w:before="0" w:after="0"/>
              <w:ind w:left="360" w:right="180" w:hanging="0"/>
              <w:jc w:val="left"/>
              <w:rPr>
                <w:rFonts w:ascii="Times New Roman" w:hAnsi="Times New Roman"/>
                <w:sz w:val="20"/>
              </w:rPr>
            </w:pPr>
            <w:r>
              <w:rPr>
                <w:rFonts w:ascii="Times New Roman" w:hAnsi="Times New Roman"/>
                <w:sz w:val="20"/>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6,834</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2,734</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360" w:right="0" w:hanging="0"/>
              <w:jc w:val="left"/>
              <w:rPr/>
            </w:pPr>
            <w:r>
              <w:rPr/>
              <w:t> </w:t>
            </w:r>
          </w:p>
        </w:tc>
      </w:tr>
      <w:tr>
        <w:trPr/>
        <w:tc>
          <w:tcPr>
            <w:tcW w:w="5420" w:type="dxa"/>
            <w:tcBorders/>
            <w:shd w:fill="FFFFFF" w:val="clear"/>
            <w:vAlign w:val="center"/>
          </w:tcPr>
          <w:p>
            <w:pPr>
              <w:pStyle w:val="TableContents"/>
              <w:bidi w:val="0"/>
              <w:spacing w:before="0" w:after="0"/>
              <w:ind w:left="720" w:right="360" w:hanging="0"/>
              <w:jc w:val="left"/>
              <w:rPr>
                <w:rFonts w:ascii="Times New Roman" w:hAnsi="Times New Roman"/>
                <w:caps w:val="false"/>
                <w:smallCaps w:val="false"/>
                <w:sz w:val="20"/>
              </w:rPr>
            </w:pPr>
            <w:r>
              <w:rPr>
                <w:rFonts w:ascii="Times New Roman" w:hAnsi="Times New Roman"/>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15,803</w:t>
            </w:r>
          </w:p>
        </w:tc>
        <w:tc>
          <w:tcPr>
            <w:tcW w:w="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5,824</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180" w:right="0" w:hanging="0"/>
              <w:jc w:val="left"/>
              <w:rPr/>
            </w:pPr>
            <w:r>
              <w:rPr/>
              <w:t> </w:t>
            </w:r>
          </w:p>
        </w:tc>
      </w:tr>
      <w:tr>
        <w:trPr/>
        <w:tc>
          <w:tcPr>
            <w:tcW w:w="5420" w:type="dxa"/>
            <w:tcBorders/>
            <w:shd w:fill="CCEEFF" w:val="clear"/>
            <w:vAlign w:val="center"/>
          </w:tcPr>
          <w:p>
            <w:pPr>
              <w:pStyle w:val="TableContents"/>
              <w:bidi w:val="0"/>
              <w:spacing w:before="0" w:after="0"/>
              <w:ind w:left="360" w:right="180" w:hanging="0"/>
              <w:jc w:val="left"/>
              <w:rPr>
                <w:rFonts w:ascii="Times New Roman" w:hAnsi="Times New Roman"/>
                <w:caps w:val="false"/>
                <w:smallCaps w:val="false"/>
                <w:sz w:val="20"/>
              </w:rPr>
            </w:pPr>
            <w:r>
              <w:rPr>
                <w:rFonts w:ascii="Times New Roman" w:hAnsi="Times New Roman"/>
                <w:caps w:val="false"/>
                <w:smallCaps w:val="false"/>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(12,924</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7"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(1,859</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180" w:right="0" w:hanging="0"/>
              <w:jc w:val="left"/>
              <w:rPr>
                <w:rFonts w:ascii="Times New Roman" w:hAnsi="Times New Roman"/>
                <w:sz w:val="20"/>
              </w:rPr>
            </w:pPr>
            <w:r>
              <w:rPr>
                <w:rFonts w:ascii="Times New Roman" w:hAnsi="Times New Roman"/>
                <w:sz w:val="20"/>
              </w:rPr>
              <w:t>)</w:t>
            </w:r>
          </w:p>
        </w:tc>
      </w:tr>
      <w:tr>
        <w:trPr/>
        <w:tc>
          <w:tcPr>
            <w:tcW w:w="5420" w:type="dxa"/>
            <w:tcBorders/>
            <w:shd w:fill="FFFFFF" w:val="clear"/>
            <w:vAlign w:val="center"/>
          </w:tcPr>
          <w:p>
            <w:pPr>
              <w:pStyle w:val="TableContents"/>
              <w:bidi w:val="0"/>
              <w:spacing w:before="0" w:after="0"/>
              <w:ind w:left="360" w:right="180" w:hanging="0"/>
              <w:jc w:val="left"/>
              <w:rPr>
                <w:rFonts w:ascii="Times New Roman" w:hAnsi="Times New Roman"/>
                <w:caps w:val="false"/>
                <w:smallCaps w:val="false"/>
                <w:sz w:val="20"/>
              </w:rPr>
            </w:pPr>
            <w:r>
              <w:rPr>
                <w:rFonts w:ascii="Times New Roman" w:hAnsi="Times New Roman"/>
                <w:caps w:val="false"/>
                <w:smallCaps w:val="false"/>
                <w:sz w:val="20"/>
              </w:rPr>
              <w:t>Other (expense) income: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180" w:right="0" w:hanging="0"/>
              <w:jc w:val="left"/>
              <w:rPr/>
            </w:pPr>
            <w:r>
              <w:rPr/>
              <w:t> </w:t>
            </w:r>
          </w:p>
        </w:tc>
      </w:tr>
      <w:tr>
        <w:trPr/>
        <w:tc>
          <w:tcPr>
            <w:tcW w:w="5420" w:type="dxa"/>
            <w:tcBorders/>
            <w:shd w:fill="CCEEFF" w:val="clear"/>
            <w:vAlign w:val="center"/>
          </w:tcPr>
          <w:p>
            <w:pPr>
              <w:pStyle w:val="TableContents"/>
              <w:bidi w:val="0"/>
              <w:spacing w:before="0" w:after="0"/>
              <w:ind w:left="360" w:right="180" w:hanging="0"/>
              <w:jc w:val="left"/>
              <w:rPr>
                <w:rFonts w:ascii="Times New Roman" w:hAnsi="Times New Roman"/>
                <w:sz w:val="20"/>
              </w:rPr>
            </w:pPr>
            <w:r>
              <w:rPr>
                <w:rFonts w:ascii="Times New Roman" w:hAnsi="Times New Roman"/>
                <w:sz w:val="20"/>
              </w:rPr>
              <w:t>Interest expense</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10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(182</w:t>
            </w:r>
          </w:p>
        </w:tc>
        <w:tc>
          <w:tcPr>
            <w:tcW w:w="9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10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80" w:type="dxa"/>
            <w:tcBorders/>
            <w:shd w:fill="CCEEFF" w:val="clear"/>
            <w:vAlign w:val="center"/>
          </w:tcPr>
          <w:p>
            <w:pPr>
              <w:pStyle w:val="TableContents"/>
              <w:bidi w:val="0"/>
              <w:spacing w:before="0" w:after="283"/>
              <w:ind w:left="180" w:right="0" w:hanging="0"/>
              <w:jc w:val="left"/>
              <w:rPr>
                <w:rFonts w:ascii="Times New Roman" w:hAnsi="Times New Roman"/>
                <w:sz w:val="20"/>
              </w:rPr>
            </w:pPr>
            <w:r>
              <w:rPr>
                <w:rFonts w:ascii="Times New Roman" w:hAnsi="Times New Roman"/>
                <w:sz w:val="20"/>
              </w:rPr>
              <w:t>)</w:t>
            </w:r>
          </w:p>
        </w:tc>
      </w:tr>
      <w:tr>
        <w:trPr/>
        <w:tc>
          <w:tcPr>
            <w:tcW w:w="5420" w:type="dxa"/>
            <w:tcBorders/>
            <w:shd w:fill="FFFFFF" w:val="clear"/>
            <w:vAlign w:val="center"/>
          </w:tcPr>
          <w:p>
            <w:pPr>
              <w:pStyle w:val="TableContents"/>
              <w:bidi w:val="0"/>
              <w:spacing w:before="0" w:after="0"/>
              <w:ind w:left="360" w:right="180" w:hanging="0"/>
              <w:jc w:val="left"/>
              <w:rPr>
                <w:rFonts w:ascii="Times New Roman" w:hAnsi="Times New Roman"/>
                <w:sz w:val="20"/>
              </w:rPr>
            </w:pPr>
            <w:r>
              <w:rPr>
                <w:rFonts w:ascii="Times New Roman" w:hAnsi="Times New Roman"/>
                <w:sz w:val="20"/>
              </w:rPr>
              <w:t>Fair value adjustment related to derivative and warrant liability</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10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9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10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241</w:t>
            </w:r>
          </w:p>
        </w:tc>
        <w:tc>
          <w:tcPr>
            <w:tcW w:w="80" w:type="dxa"/>
            <w:tcBorders/>
            <w:shd w:fill="FFFFFF" w:val="clear"/>
            <w:vAlign w:val="center"/>
          </w:tcPr>
          <w:p>
            <w:pPr>
              <w:pStyle w:val="TableContents"/>
              <w:bidi w:val="0"/>
              <w:spacing w:before="0" w:after="283"/>
              <w:ind w:left="180" w:right="0" w:hanging="0"/>
              <w:jc w:val="left"/>
              <w:rPr/>
            </w:pPr>
            <w:r>
              <w:rPr/>
              <w:t> </w:t>
            </w:r>
          </w:p>
        </w:tc>
      </w:tr>
      <w:tr>
        <w:trPr/>
        <w:tc>
          <w:tcPr>
            <w:tcW w:w="5420" w:type="dxa"/>
            <w:tcBorders/>
            <w:shd w:fill="CCEEFF" w:val="clear"/>
            <w:vAlign w:val="center"/>
          </w:tcPr>
          <w:p>
            <w:pPr>
              <w:pStyle w:val="TableContents"/>
              <w:bidi w:val="0"/>
              <w:spacing w:before="0" w:after="0"/>
              <w:ind w:left="360" w:right="180" w:hanging="0"/>
              <w:jc w:val="left"/>
              <w:rPr>
                <w:rFonts w:ascii="Times New Roman" w:hAnsi="Times New Roman"/>
                <w:sz w:val="20"/>
              </w:rPr>
            </w:pPr>
            <w:r>
              <w:rPr>
                <w:rFonts w:ascii="Times New Roman" w:hAnsi="Times New Roman"/>
                <w:sz w:val="20"/>
              </w:rPr>
              <w:t>Fair value adjustment related to investments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10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196</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10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(352</w:t>
            </w:r>
          </w:p>
        </w:tc>
        <w:tc>
          <w:tcPr>
            <w:tcW w:w="80" w:type="dxa"/>
            <w:tcBorders/>
            <w:shd w:fill="CCEEFF" w:val="clear"/>
            <w:vAlign w:val="center"/>
          </w:tcPr>
          <w:p>
            <w:pPr>
              <w:pStyle w:val="TableContents"/>
              <w:bidi w:val="0"/>
              <w:spacing w:before="0" w:after="283"/>
              <w:ind w:left="180" w:right="0" w:hanging="0"/>
              <w:jc w:val="left"/>
              <w:rPr>
                <w:rFonts w:ascii="Times New Roman" w:hAnsi="Times New Roman"/>
                <w:sz w:val="20"/>
              </w:rPr>
            </w:pPr>
            <w:r>
              <w:rPr>
                <w:rFonts w:ascii="Times New Roman" w:hAnsi="Times New Roman"/>
                <w:sz w:val="20"/>
              </w:rPr>
              <w:t>)</w:t>
            </w:r>
          </w:p>
        </w:tc>
      </w:tr>
      <w:tr>
        <w:trPr/>
        <w:tc>
          <w:tcPr>
            <w:tcW w:w="5420" w:type="dxa"/>
            <w:tcBorders/>
            <w:shd w:fill="FFFFFF" w:val="clear"/>
            <w:vAlign w:val="center"/>
          </w:tcPr>
          <w:p>
            <w:pPr>
              <w:pStyle w:val="TableContents"/>
              <w:bidi w:val="0"/>
              <w:spacing w:before="0" w:after="0"/>
              <w:ind w:left="360" w:right="180" w:hanging="0"/>
              <w:jc w:val="left"/>
              <w:rPr>
                <w:rFonts w:ascii="Times New Roman" w:hAnsi="Times New Roman"/>
                <w:sz w:val="20"/>
              </w:rPr>
            </w:pPr>
            <w:r>
              <w:rPr>
                <w:rFonts w:ascii="Times New Roman" w:hAnsi="Times New Roman"/>
                <w:sz w:val="20"/>
              </w:rPr>
              <w:t>Interest and other income, net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1,042</w:t>
            </w:r>
          </w:p>
        </w:tc>
        <w:tc>
          <w:tcPr>
            <w:tcW w:w="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360" w:right="0" w:hanging="0"/>
              <w:jc w:val="left"/>
              <w:rPr/>
            </w:pPr>
            <w:r>
              <w:rPr/>
              <w:t> </w:t>
            </w:r>
          </w:p>
        </w:tc>
      </w:tr>
      <w:tr>
        <w:trPr/>
        <w:tc>
          <w:tcPr>
            <w:tcW w:w="5420" w:type="dxa"/>
            <w:tcBorders/>
            <w:shd w:fill="CCEEFF" w:val="clear"/>
            <w:vAlign w:val="center"/>
          </w:tcPr>
          <w:p>
            <w:pPr>
              <w:pStyle w:val="TableContents"/>
              <w:bidi w:val="0"/>
              <w:spacing w:before="0" w:after="0"/>
              <w:ind w:left="720" w:right="360" w:hanging="0"/>
              <w:jc w:val="left"/>
              <w:rPr>
                <w:rFonts w:ascii="Times New Roman" w:hAnsi="Times New Roman"/>
                <w:caps w:val="false"/>
                <w:smallCaps w:val="false"/>
                <w:sz w:val="20"/>
              </w:rPr>
            </w:pPr>
            <w:r>
              <w:rPr>
                <w:rFonts w:ascii="Times New Roman" w:hAnsi="Times New Roman"/>
                <w:caps w:val="false"/>
                <w:smallCaps w:val="false"/>
                <w:sz w:val="20"/>
              </w:rPr>
              <w:t>Total other (expense) income</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1,054</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before income taxes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10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(11,870</w:t>
            </w:r>
          </w:p>
        </w:tc>
        <w:tc>
          <w:tcPr>
            <w:tcW w:w="9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10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(1,868</w:t>
            </w:r>
          </w:p>
        </w:tc>
        <w:tc>
          <w:tcPr>
            <w:tcW w:w="8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Income tax benefit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(11,767</w:t>
            </w:r>
          </w:p>
        </w:tc>
        <w:tc>
          <w:tcPr>
            <w:tcW w:w="9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7" w:type="dxa"/>
            <w:tcBorders/>
            <w:shd w:fill="FFFFFF" w:val="clear"/>
            <w:vAlign w:val="center"/>
          </w:tcPr>
          <w:p>
            <w:pPr>
              <w:pStyle w:val="TableContents"/>
              <w:bidi w:val="0"/>
              <w:spacing w:before="0" w:after="283"/>
              <w:ind w:left="0" w:right="0" w:hanging="0"/>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(1,864</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 attributable to common stockholders</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(11,767</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7" w:type="dxa"/>
            <w:tcBorders/>
            <w:shd w:fill="CCEEFF" w:val="clear"/>
            <w:vAlign w:val="center"/>
          </w:tcPr>
          <w:p>
            <w:pPr>
              <w:pStyle w:val="TableContents"/>
              <w:bidi w:val="0"/>
              <w:spacing w:before="0" w:after="283"/>
              <w:ind w:left="0" w:right="0" w:hanging="0"/>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(1,864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Basic and diluted net loss per share of common stock:</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180" w:right="0" w:hanging="0"/>
              <w:jc w:val="left"/>
              <w:rPr/>
            </w:pPr>
            <w:r>
              <w:rPr/>
              <w:t> </w:t>
            </w:r>
          </w:p>
        </w:tc>
      </w:tr>
      <w:tr>
        <w:trPr/>
        <w:tc>
          <w:tcPr>
            <w:tcW w:w="5420" w:type="dxa"/>
            <w:tcBorders/>
            <w:shd w:fill="FFFFFF" w:val="clear"/>
            <w:vAlign w:val="center"/>
          </w:tcPr>
          <w:p>
            <w:pPr>
              <w:pStyle w:val="TableContents"/>
              <w:bidi w:val="0"/>
              <w:spacing w:before="0" w:after="0"/>
              <w:ind w:left="360" w:right="180" w:hanging="0"/>
              <w:jc w:val="left"/>
              <w:rPr>
                <w:rFonts w:ascii="Times New Roman" w:hAnsi="Times New Roman"/>
                <w:sz w:val="20"/>
              </w:rPr>
            </w:pPr>
            <w:r>
              <w:rPr>
                <w:rFonts w:ascii="Times New Roman" w:hAnsi="Times New Roman"/>
                <w:sz w:val="20"/>
              </w:rPr>
              <w:t>Net loss attributable to common stockholders</w:t>
            </w:r>
          </w:p>
        </w:tc>
        <w:tc>
          <w:tcPr>
            <w:tcW w:w="60" w:type="dxa"/>
            <w:tcBorders/>
            <w:shd w:fill="FFFF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(0.34</w:t>
            </w:r>
          </w:p>
        </w:tc>
        <w:tc>
          <w:tcPr>
            <w:tcW w:w="90" w:type="dxa"/>
            <w:tcBorders>
              <w:bottom w:val="double" w:sz="6" w:space="0" w:color="000000"/>
            </w:tcBorders>
            <w:shd w:fill="FFFFFF" w:val="clear"/>
            <w:tcMar>
              <w:bottom w:w="45"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7" w:type="dxa"/>
            <w:tcBorders/>
            <w:shd w:fill="FFFF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(0.05</w:t>
            </w:r>
          </w:p>
        </w:tc>
        <w:tc>
          <w:tcPr>
            <w:tcW w:w="80" w:type="dxa"/>
            <w:tcBorders>
              <w:bottom w:val="double" w:sz="6" w:space="0" w:color="000000"/>
            </w:tcBorders>
            <w:shd w:fill="FFFFFF" w:val="clear"/>
            <w:tcMar>
              <w:bottom w:w="45"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 average number of shares of common stock outstanding:</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180" w:right="0" w:hanging="0"/>
              <w:jc w:val="left"/>
              <w:rPr/>
            </w:pPr>
            <w:r>
              <w:rPr/>
              <w:t> </w:t>
            </w:r>
          </w:p>
        </w:tc>
      </w:tr>
      <w:tr>
        <w:trPr/>
        <w:tc>
          <w:tcPr>
            <w:tcW w:w="5420" w:type="dxa"/>
            <w:tcBorders/>
            <w:shd w:fill="CCEEFF" w:val="clear"/>
            <w:vAlign w:val="center"/>
          </w:tcPr>
          <w:p>
            <w:pPr>
              <w:pStyle w:val="TableContents"/>
              <w:bidi w:val="0"/>
              <w:spacing w:before="0" w:after="0"/>
              <w:ind w:left="360" w:right="180" w:hanging="0"/>
              <w:jc w:val="left"/>
              <w:rPr>
                <w:rFonts w:ascii="Times New Roman" w:hAnsi="Times New Roman"/>
                <w:sz w:val="20"/>
              </w:rPr>
            </w:pPr>
            <w:r>
              <w:rPr>
                <w:rFonts w:ascii="Times New Roman" w:hAnsi="Times New Roman"/>
                <w:sz w:val="20"/>
              </w:rPr>
              <w:t>Basic and diluted</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34,466,542</w:t>
            </w:r>
          </w:p>
        </w:tc>
        <w:tc>
          <w:tcPr>
            <w:tcW w:w="90" w:type="dxa"/>
            <w:tcBorders>
              <w:bottom w:val="double" w:sz="6" w:space="0" w:color="000000"/>
            </w:tcBorders>
            <w:shd w:fill="CCEEFF" w:val="clear"/>
            <w:tcMar>
              <w:bottom w:w="45" w:type="dxa"/>
            </w:tcM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34,506,597</w:t>
            </w:r>
          </w:p>
        </w:tc>
        <w:tc>
          <w:tcPr>
            <w:tcW w:w="80" w:type="dxa"/>
            <w:tcBorders>
              <w:bottom w:val="double" w:sz="6" w:space="0" w:color="000000"/>
            </w:tcBorders>
            <w:shd w:fill="CCEEFF" w:val="clear"/>
            <w:tcMar>
              <w:bottom w:w="45"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See accompanying notes to unaudited condensed consolidated financial statements.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bookmarkStart w:id="5" w:name="Comp_Incom"/>
      <w:bookmarkEnd w:id="5"/>
      <w:r>
        <w:rPr>
          <w:rFonts w:ascii="Times New Roman;Times;serif" w:hAnsi="Times New Roman;Times;serif"/>
          <w:b/>
          <w:sz w:val="20"/>
        </w:rPr>
        <w:t>ZEVRA THERAPEUTICS,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CONDENSED CONSOLIDATED STATEMENTS OF COMPREHENSIVE INCOME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before="0" w:after="0"/>
        <w:ind w:left="0" w:right="0" w:hanging="0"/>
        <w:jc w:val="center"/>
        <w:rPr/>
      </w:pPr>
      <w:r>
        <w:rPr/>
        <w:t> </w:t>
      </w:r>
    </w:p>
    <w:tbl>
      <w:tblPr>
        <w:tblW w:w="6416" w:type="dxa"/>
        <w:jc w:val="left"/>
        <w:tblInd w:w="0" w:type="dxa"/>
        <w:tblLayout w:type="fixed"/>
        <w:tblCellMar>
          <w:top w:w="0" w:type="dxa"/>
          <w:left w:w="0" w:type="dxa"/>
          <w:bottom w:w="0" w:type="dxa"/>
          <w:right w:w="0" w:type="dxa"/>
        </w:tblCellMar>
      </w:tblPr>
      <w:tblGrid>
        <w:gridCol w:w="3695"/>
        <w:gridCol w:w="60"/>
        <w:gridCol w:w="203"/>
        <w:gridCol w:w="1060"/>
        <w:gridCol w:w="130"/>
        <w:gridCol w:w="97"/>
        <w:gridCol w:w="203"/>
        <w:gridCol w:w="888"/>
        <w:gridCol w:w="80"/>
      </w:tblGrid>
      <w:tr>
        <w:trPr/>
        <w:tc>
          <w:tcPr>
            <w:tcW w:w="3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8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March 31,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3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109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 attributable to common stockholders</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(11,767</w:t>
            </w:r>
          </w:p>
        </w:tc>
        <w:tc>
          <w:tcPr>
            <w:tcW w:w="13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7" w:type="dxa"/>
            <w:tcBorders/>
            <w:shd w:fill="CCEEFF" w:val="clear"/>
            <w:vAlign w:val="center"/>
          </w:tcPr>
          <w:p>
            <w:pPr>
              <w:pStyle w:val="TableContents"/>
              <w:bidi w:val="0"/>
              <w:spacing w:before="0" w:after="283"/>
              <w:ind w:left="0" w:right="0" w:hanging="0"/>
              <w:jc w:val="left"/>
              <w:rPr/>
            </w:pPr>
            <w:r>
              <w:rPr/>
              <w:t> </w:t>
            </w:r>
          </w:p>
        </w:tc>
        <w:tc>
          <w:tcPr>
            <w:tcW w:w="20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(1,864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6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(loss) income:</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180" w:right="0" w:hanging="0"/>
              <w:jc w:val="left"/>
              <w:rPr/>
            </w:pPr>
            <w:r>
              <w:rPr/>
              <w:t> </w:t>
            </w:r>
          </w:p>
        </w:tc>
      </w:tr>
      <w:tr>
        <w:trPr/>
        <w:tc>
          <w:tcPr>
            <w:tcW w:w="3695" w:type="dxa"/>
            <w:tcBorders/>
            <w:shd w:fill="CCEEFF" w:val="clear"/>
            <w:vAlign w:val="center"/>
          </w:tcPr>
          <w:p>
            <w:pPr>
              <w:pStyle w:val="TableContents"/>
              <w:bidi w:val="0"/>
              <w:spacing w:before="0" w:after="0"/>
              <w:ind w:left="360" w:right="180" w:hanging="0"/>
              <w:jc w:val="left"/>
              <w:rPr>
                <w:rFonts w:ascii="Times New Roman" w:hAnsi="Times New Roman"/>
                <w:sz w:val="20"/>
              </w:rPr>
            </w:pPr>
            <w:r>
              <w:rPr>
                <w:rFonts w:ascii="Times New Roman" w:hAnsi="Times New Roman"/>
                <w:sz w:val="20"/>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w:t>
            </w:r>
          </w:p>
        </w:tc>
        <w:tc>
          <w:tcPr>
            <w:tcW w:w="13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7" w:type="dxa"/>
            <w:tcBorders/>
            <w:shd w:fill="CCEEFF" w:val="clear"/>
            <w:vAlign w:val="center"/>
          </w:tcPr>
          <w:p>
            <w:pPr>
              <w:pStyle w:val="TableContents"/>
              <w:bidi w:val="0"/>
              <w:spacing w:before="0" w:after="283"/>
              <w:jc w:val="left"/>
              <w:rPr/>
            </w:pPr>
            <w:r>
              <w:rPr/>
              <w:t> </w:t>
            </w:r>
          </w:p>
        </w:tc>
        <w:tc>
          <w:tcPr>
            <w:tcW w:w="2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360" w:right="0" w:hanging="0"/>
              <w:jc w:val="left"/>
              <w:rPr/>
            </w:pPr>
            <w:r>
              <w:rPr/>
              <w:t> </w:t>
            </w:r>
          </w:p>
        </w:tc>
      </w:tr>
      <w:tr>
        <w:trPr/>
        <w:tc>
          <w:tcPr>
            <w:tcW w:w="3695"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(loss) income</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w:t>
            </w:r>
          </w:p>
        </w:tc>
        <w:tc>
          <w:tcPr>
            <w:tcW w:w="13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7" w:type="dxa"/>
            <w:tcBorders/>
            <w:shd w:fill="FFFFFF" w:val="clear"/>
            <w:vAlign w:val="center"/>
          </w:tcPr>
          <w:p>
            <w:pPr>
              <w:pStyle w:val="TableContents"/>
              <w:bidi w:val="0"/>
              <w:spacing w:before="0" w:after="283"/>
              <w:jc w:val="left"/>
              <w:rPr/>
            </w:pPr>
            <w:r>
              <w:rPr/>
              <w:t> </w:t>
            </w:r>
          </w:p>
        </w:tc>
        <w:tc>
          <w:tcPr>
            <w:tcW w:w="2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Comprehensive loss</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(11,943</w:t>
            </w:r>
          </w:p>
        </w:tc>
        <w:tc>
          <w:tcPr>
            <w:tcW w:w="13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7" w:type="dxa"/>
            <w:tcBorders/>
            <w:shd w:fill="CCEE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(1,864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See accompanying notes to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6" w:name="equity"/>
      <w:bookmarkEnd w:id="6"/>
      <w:r>
        <w:rPr>
          <w:rFonts w:ascii="Times New Roman;Times;serif" w:hAnsi="Times New Roman;Times;serif"/>
          <w:b/>
          <w:sz w:val="20"/>
        </w:rPr>
        <w:t>ZEVRA THERAPEUTICS, INC.</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UNAUDITED CONDENSED CONSOLIDATED STATEMENTS OF CHANGES IN STOCKHOLDERS’ EQUITY</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144" w:right="144" w:hanging="0"/>
        <w:jc w:val="center"/>
        <w:rPr/>
      </w:pPr>
      <w:r>
        <w:rPr/>
        <w:t> </w:t>
      </w:r>
    </w:p>
    <w:tbl>
      <w:tblPr>
        <w:tblW w:w="10205" w:type="dxa"/>
        <w:jc w:val="left"/>
        <w:tblInd w:w="0" w:type="dxa"/>
        <w:tblLayout w:type="fixed"/>
        <w:tblCellMar>
          <w:top w:w="0" w:type="dxa"/>
          <w:left w:w="0" w:type="dxa"/>
          <w:bottom w:w="0" w:type="dxa"/>
          <w:right w:w="0" w:type="dxa"/>
        </w:tblCellMar>
      </w:tblPr>
      <w:tblGrid>
        <w:gridCol w:w="3396"/>
        <w:gridCol w:w="60"/>
        <w:gridCol w:w="250"/>
        <w:gridCol w:w="520"/>
        <w:gridCol w:w="60"/>
        <w:gridCol w:w="60"/>
        <w:gridCol w:w="140"/>
        <w:gridCol w:w="780"/>
        <w:gridCol w:w="60"/>
        <w:gridCol w:w="60"/>
        <w:gridCol w:w="125"/>
        <w:gridCol w:w="650"/>
        <w:gridCol w:w="80"/>
        <w:gridCol w:w="60"/>
        <w:gridCol w:w="158"/>
        <w:gridCol w:w="957"/>
        <w:gridCol w:w="80"/>
        <w:gridCol w:w="60"/>
        <w:gridCol w:w="311"/>
        <w:gridCol w:w="984"/>
        <w:gridCol w:w="80"/>
        <w:gridCol w:w="60"/>
        <w:gridCol w:w="182"/>
        <w:gridCol w:w="951"/>
        <w:gridCol w:w="81"/>
      </w:tblGrid>
      <w:tr>
        <w:trPr/>
        <w:tc>
          <w:tcPr>
            <w:tcW w:w="33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Additional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Treasury</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3"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81" w:type="dxa"/>
            <w:tcBorders/>
            <w:shd w:fill="FFFFFF" w:val="clear"/>
            <w:vAlign w:val="center"/>
          </w:tcPr>
          <w:p>
            <w:pPr>
              <w:pStyle w:val="TableContents"/>
              <w:bidi w:val="0"/>
              <w:spacing w:before="0" w:after="283"/>
              <w:jc w:val="left"/>
              <w:rPr/>
            </w:pPr>
            <w:r>
              <w:rPr/>
              <w:t> </w:t>
            </w:r>
          </w:p>
        </w:tc>
      </w:tr>
      <w:tr>
        <w:trPr/>
        <w:tc>
          <w:tcPr>
            <w:tcW w:w="33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Common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Paid-in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3"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Stockholders'</w:t>
            </w:r>
          </w:p>
        </w:tc>
        <w:tc>
          <w:tcPr>
            <w:tcW w:w="81" w:type="dxa"/>
            <w:tcBorders/>
            <w:shd w:fill="FFFFFF" w:val="clear"/>
            <w:vAlign w:val="center"/>
          </w:tcPr>
          <w:p>
            <w:pPr>
              <w:pStyle w:val="TableContents"/>
              <w:bidi w:val="0"/>
              <w:spacing w:before="0" w:after="283"/>
              <w:jc w:val="left"/>
              <w:rPr/>
            </w:pPr>
            <w:r>
              <w:rPr/>
              <w:t> </w:t>
            </w:r>
          </w:p>
        </w:tc>
      </w:tr>
      <w:tr>
        <w:trPr/>
        <w:tc>
          <w:tcPr>
            <w:tcW w:w="33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Capital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at cost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Deficit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Income (Loss)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Equity</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9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as of January 1, 2023</w:t>
            </w:r>
          </w:p>
        </w:tc>
        <w:tc>
          <w:tcPr>
            <w:tcW w:w="60" w:type="dxa"/>
            <w:tcBorders/>
            <w:shd w:fill="CCEEFF" w:val="clear"/>
            <w:vAlign w:val="center"/>
          </w:tcPr>
          <w:p>
            <w:pPr>
              <w:pStyle w:val="TableContents"/>
              <w:bidi w:val="0"/>
              <w:spacing w:before="0" w:after="283"/>
              <w:ind w:left="0" w:right="0" w:hanging="0"/>
              <w:jc w:val="left"/>
              <w:rPr/>
            </w:pPr>
            <w:r>
              <w:rPr/>
              <w:t> </w:t>
            </w:r>
          </w:p>
        </w:tc>
        <w:tc>
          <w:tcPr>
            <w:tcW w:w="2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401,799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(7,536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(308,572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1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85,807</w:t>
            </w:r>
          </w:p>
        </w:tc>
        <w:tc>
          <w:tcPr>
            <w:tcW w:w="8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396"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Net loss</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(11,767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(11,767</w:t>
            </w:r>
          </w:p>
        </w:tc>
        <w:tc>
          <w:tcPr>
            <w:tcW w:w="8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396"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591</w:t>
            </w:r>
          </w:p>
        </w:tc>
        <w:tc>
          <w:tcPr>
            <w:tcW w:w="81" w:type="dxa"/>
            <w:tcBorders/>
            <w:shd w:fill="CCEEFF" w:val="clear"/>
            <w:vAlign w:val="center"/>
          </w:tcPr>
          <w:p>
            <w:pPr>
              <w:pStyle w:val="TableContents"/>
              <w:bidi w:val="0"/>
              <w:spacing w:before="0" w:after="283"/>
              <w:jc w:val="left"/>
              <w:rPr/>
            </w:pPr>
            <w:r>
              <w:rPr/>
              <w:t> </w:t>
            </w:r>
          </w:p>
        </w:tc>
      </w:tr>
      <w:tr>
        <w:trPr/>
        <w:tc>
          <w:tcPr>
            <w:tcW w:w="3396"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Shares repurchased as part of the Share Repurchase Program</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(3,447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(3,447</w:t>
            </w:r>
          </w:p>
        </w:tc>
        <w:tc>
          <w:tcPr>
            <w:tcW w:w="8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396"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Issuance of common stock in exchange for consulting services</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42</w:t>
            </w:r>
          </w:p>
        </w:tc>
        <w:tc>
          <w:tcPr>
            <w:tcW w:w="81" w:type="dxa"/>
            <w:tcBorders/>
            <w:shd w:fill="CCEEFF" w:val="clear"/>
            <w:vAlign w:val="center"/>
          </w:tcPr>
          <w:p>
            <w:pPr>
              <w:pStyle w:val="TableContents"/>
              <w:bidi w:val="0"/>
              <w:spacing w:before="0" w:after="283"/>
              <w:jc w:val="left"/>
              <w:rPr/>
            </w:pPr>
            <w:r>
              <w:rPr/>
              <w:t> </w:t>
            </w:r>
          </w:p>
        </w:tc>
      </w:tr>
      <w:tr>
        <w:trPr/>
        <w:tc>
          <w:tcPr>
            <w:tcW w:w="3396"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Severance expense</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354</w:t>
            </w:r>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339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comprehensive loss</w:t>
            </w:r>
          </w:p>
        </w:tc>
        <w:tc>
          <w:tcPr>
            <w:tcW w:w="60" w:type="dxa"/>
            <w:tcBorders/>
            <w:shd w:fill="CCEEFF" w:val="clear"/>
            <w:vAlign w:val="center"/>
          </w:tcPr>
          <w:p>
            <w:pPr>
              <w:pStyle w:val="TableContents"/>
              <w:bidi w:val="0"/>
              <w:spacing w:before="0" w:after="0"/>
              <w:ind w:left="0" w:right="0" w:hanging="0"/>
              <w:jc w:val="left"/>
              <w:rPr/>
            </w:pPr>
            <w:r>
              <w:rPr/>
              <w:t> </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(176</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(176</w:t>
            </w:r>
          </w:p>
        </w:tc>
        <w:tc>
          <w:tcPr>
            <w:tcW w:w="81" w:type="dxa"/>
            <w:tcBorders>
              <w:bottom w:val="single" w:sz="2" w:space="0" w:color="000000"/>
            </w:tcBorders>
            <w:shd w:fill="CCEE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39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as of March 31, 2023</w:t>
            </w:r>
          </w:p>
        </w:tc>
        <w:tc>
          <w:tcPr>
            <w:tcW w:w="60" w:type="dxa"/>
            <w:tcBorders/>
            <w:shd w:fill="FFFFFF" w:val="clear"/>
            <w:vAlign w:val="center"/>
          </w:tcPr>
          <w:p>
            <w:pPr>
              <w:pStyle w:val="TableContents"/>
              <w:bidi w:val="0"/>
              <w:spacing w:before="0" w:after="283"/>
              <w:ind w:left="0" w:right="0" w:hanging="0"/>
              <w:jc w:val="left"/>
              <w:rPr/>
            </w:pPr>
            <w:r>
              <w:rPr/>
              <w:t> </w:t>
            </w:r>
          </w:p>
        </w:tc>
        <w:tc>
          <w:tcPr>
            <w:tcW w:w="2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402,786</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(10,983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(320,339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1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71,404</w:t>
            </w:r>
          </w:p>
        </w:tc>
        <w:tc>
          <w:tcPr>
            <w:tcW w:w="8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olor w:val="000000"/>
        </w:rPr>
      </w:pPr>
      <w:r>
        <w:rPr>
          <w:color w:val="000000"/>
        </w:rPr>
        <w:t> </w:t>
      </w:r>
    </w:p>
    <w:p>
      <w:pPr>
        <w:pStyle w:val="TextBody"/>
        <w:bidi w:val="0"/>
        <w:spacing w:before="0" w:after="0"/>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See accompanying notes to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ZEVRA THERAPEUTICS, INC.</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UNAUDITED CONDENSED CONSOLIDATED STATEMENTS OF CHANGES IN STOCKHOLDERS’ EQUITY, CONTINUED</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left"/>
        <w:rPr/>
      </w:pPr>
      <w:r>
        <w:rPr/>
        <w:t> </w:t>
      </w:r>
    </w:p>
    <w:tbl>
      <w:tblPr>
        <w:tblW w:w="9678" w:type="dxa"/>
        <w:jc w:val="left"/>
        <w:tblInd w:w="0" w:type="dxa"/>
        <w:tblLayout w:type="fixed"/>
        <w:tblCellMar>
          <w:top w:w="0" w:type="dxa"/>
          <w:left w:w="0" w:type="dxa"/>
          <w:bottom w:w="0" w:type="dxa"/>
          <w:right w:w="0" w:type="dxa"/>
        </w:tblCellMar>
      </w:tblPr>
      <w:tblGrid>
        <w:gridCol w:w="4460"/>
        <w:gridCol w:w="60"/>
        <w:gridCol w:w="206"/>
        <w:gridCol w:w="489"/>
        <w:gridCol w:w="80"/>
        <w:gridCol w:w="60"/>
        <w:gridCol w:w="130"/>
        <w:gridCol w:w="715"/>
        <w:gridCol w:w="60"/>
        <w:gridCol w:w="60"/>
        <w:gridCol w:w="180"/>
        <w:gridCol w:w="799"/>
        <w:gridCol w:w="80"/>
        <w:gridCol w:w="60"/>
        <w:gridCol w:w="139"/>
        <w:gridCol w:w="841"/>
        <w:gridCol w:w="80"/>
        <w:gridCol w:w="60"/>
        <w:gridCol w:w="156"/>
        <w:gridCol w:w="868"/>
        <w:gridCol w:w="95"/>
      </w:tblGrid>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489"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99"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Total</w:t>
            </w:r>
          </w:p>
        </w:tc>
        <w:tc>
          <w:tcPr>
            <w:tcW w:w="95"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Common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9"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Treasury</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24"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Stockholders'</w:t>
            </w:r>
          </w:p>
        </w:tc>
        <w:tc>
          <w:tcPr>
            <w:tcW w:w="95"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Stock</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Capital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9"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Stock, at cost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Deficit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2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Equity</w:t>
            </w:r>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as of January 1, 2022</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396,957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(2,814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(267,029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6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127,118</w:t>
            </w:r>
          </w:p>
        </w:tc>
        <w:tc>
          <w:tcPr>
            <w:tcW w:w="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loss</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48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1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79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(1,864</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86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(1,864</w:t>
            </w:r>
          </w:p>
        </w:tc>
        <w:tc>
          <w:tcPr>
            <w:tcW w:w="9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4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48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79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86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918</w:t>
            </w:r>
          </w:p>
        </w:tc>
        <w:tc>
          <w:tcPr>
            <w:tcW w:w="95"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Shares repurchased as part of the Share Repurchase Program</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48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1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79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(4,722</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86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(4,723</w:t>
            </w:r>
          </w:p>
        </w:tc>
        <w:tc>
          <w:tcPr>
            <w:tcW w:w="9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4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Issuance of common stock in exchange for consulting services</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w:t>
            </w:r>
          </w:p>
        </w:tc>
        <w:tc>
          <w:tcPr>
            <w:tcW w:w="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as of March 31, 2022</w:t>
            </w:r>
          </w:p>
        </w:tc>
        <w:tc>
          <w:tcPr>
            <w:tcW w:w="60" w:type="dxa"/>
            <w:tcBorders/>
            <w:shd w:fill="FFFF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8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397,925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9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(7,536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(268,893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6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121,499</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See accompanying notes to unaudited condensed consolidated financial statements.</w:t>
      </w:r>
    </w:p>
    <w:p>
      <w:pPr>
        <w:pStyle w:val="TextBody"/>
        <w:bidi w:val="0"/>
        <w:spacing w:before="0" w:after="0"/>
        <w:ind w:left="0" w:right="0" w:hanging="0"/>
        <w:jc w:val="center"/>
        <w:rPr>
          <w:color w:val="000000"/>
        </w:rPr>
      </w:pPr>
      <w:r>
        <w:rPr>
          <w:color w:val="000000"/>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7" w:name="cf"/>
      <w:bookmarkEnd w:id="7"/>
      <w:r>
        <w:rPr>
          <w:rFonts w:ascii="Times New Roman;Times;serif" w:hAnsi="Times New Roman;Times;serif"/>
          <w:b/>
          <w:sz w:val="20"/>
        </w:rPr>
        <w:t>ZEVRA THERAPEUTICS,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pPr>
      <w:r>
        <w:rPr/>
        <w:t> </w:t>
      </w:r>
    </w:p>
    <w:tbl>
      <w:tblPr>
        <w:tblW w:w="8653" w:type="dxa"/>
        <w:jc w:val="left"/>
        <w:tblInd w:w="0" w:type="dxa"/>
        <w:tblLayout w:type="fixed"/>
        <w:tblCellMar>
          <w:top w:w="0" w:type="dxa"/>
          <w:left w:w="0" w:type="dxa"/>
          <w:bottom w:w="0" w:type="dxa"/>
          <w:right w:w="0" w:type="dxa"/>
        </w:tblCellMar>
      </w:tblPr>
      <w:tblGrid>
        <w:gridCol w:w="5930"/>
        <w:gridCol w:w="60"/>
        <w:gridCol w:w="186"/>
        <w:gridCol w:w="968"/>
        <w:gridCol w:w="119"/>
        <w:gridCol w:w="89"/>
        <w:gridCol w:w="186"/>
        <w:gridCol w:w="1035"/>
        <w:gridCol w:w="80"/>
      </w:tblGrid>
      <w:tr>
        <w:trPr/>
        <w:tc>
          <w:tcPr>
            <w:tcW w:w="5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8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March 31,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1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22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86"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(11,767</w:t>
            </w:r>
          </w:p>
        </w:tc>
        <w:tc>
          <w:tcPr>
            <w:tcW w:w="11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9" w:type="dxa"/>
            <w:tcBorders/>
            <w:shd w:fill="FFFFFF" w:val="clear"/>
            <w:vAlign w:val="center"/>
          </w:tcPr>
          <w:p>
            <w:pPr>
              <w:pStyle w:val="TableContents"/>
              <w:bidi w:val="0"/>
              <w:spacing w:before="0" w:after="283"/>
              <w:ind w:left="0" w:right="0" w:hanging="0"/>
              <w:jc w:val="left"/>
              <w:rPr/>
            </w:pPr>
            <w:r>
              <w:rPr/>
              <w:t> </w:t>
            </w:r>
          </w:p>
        </w:tc>
        <w:tc>
          <w:tcPr>
            <w:tcW w:w="186"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3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(1,864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180" w:right="0" w:hanging="0"/>
              <w:jc w:val="left"/>
              <w:rPr/>
            </w:pPr>
            <w:r>
              <w:rPr/>
              <w:t> </w:t>
            </w:r>
          </w:p>
        </w:tc>
      </w:tr>
      <w:tr>
        <w:trPr/>
        <w:tc>
          <w:tcPr>
            <w:tcW w:w="593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ind w:left="0" w:right="0" w:hanging="0"/>
              <w:jc w:val="left"/>
              <w:rPr/>
            </w:pPr>
            <w:r>
              <w:rPr/>
              <w:t> </w:t>
            </w:r>
          </w:p>
        </w:tc>
        <w:tc>
          <w:tcPr>
            <w:tcW w:w="96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591</w:t>
            </w:r>
          </w:p>
        </w:tc>
        <w:tc>
          <w:tcPr>
            <w:tcW w:w="11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ind w:left="0" w:right="0" w:hanging="0"/>
              <w:jc w:val="left"/>
              <w:rPr/>
            </w:pPr>
            <w:r>
              <w:rPr/>
              <w:t> </w:t>
            </w:r>
          </w:p>
        </w:tc>
        <w:tc>
          <w:tcPr>
            <w:tcW w:w="103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918</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180" w:right="180" w:hanging="0"/>
              <w:jc w:val="left"/>
              <w:rPr>
                <w:rFonts w:ascii="Times New Roman" w:hAnsi="Times New Roman"/>
                <w:sz w:val="20"/>
              </w:rPr>
            </w:pPr>
            <w:r>
              <w:rPr>
                <w:rFonts w:ascii="Times New Roman" w:hAnsi="Times New Roman"/>
                <w:sz w:val="20"/>
              </w:rPr>
              <w:t>Non-cash severance expense</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354</w:t>
            </w:r>
          </w:p>
        </w:tc>
        <w:tc>
          <w:tcPr>
            <w:tcW w:w="11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ind w:left="180" w:right="0" w:hanging="0"/>
              <w:jc w:val="left"/>
              <w:rPr/>
            </w:pPr>
            <w:r>
              <w:rPr/>
              <w:t> </w:t>
            </w:r>
          </w:p>
        </w:tc>
      </w:tr>
      <w:tr>
        <w:trPr/>
        <w:tc>
          <w:tcPr>
            <w:tcW w:w="593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Depreciation and amortization expense</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ind w:left="0" w:right="0" w:hanging="0"/>
              <w:jc w:val="left"/>
              <w:rPr/>
            </w:pPr>
            <w:r>
              <w:rPr/>
              <w:t> </w:t>
            </w:r>
          </w:p>
        </w:tc>
        <w:tc>
          <w:tcPr>
            <w:tcW w:w="96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w:t>
            </w:r>
          </w:p>
        </w:tc>
        <w:tc>
          <w:tcPr>
            <w:tcW w:w="11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ind w:left="0" w:right="0" w:hanging="0"/>
              <w:jc w:val="left"/>
              <w:rPr/>
            </w:pPr>
            <w:r>
              <w:rPr/>
              <w:t> </w:t>
            </w:r>
          </w:p>
        </w:tc>
        <w:tc>
          <w:tcPr>
            <w:tcW w:w="103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w:t>
            </w:r>
          </w:p>
        </w:tc>
        <w:tc>
          <w:tcPr>
            <w:tcW w:w="80" w:type="dxa"/>
            <w:tcBorders/>
            <w:shd w:fill="FFFFFF" w:val="clear"/>
            <w:vAlign w:val="center"/>
          </w:tcPr>
          <w:p>
            <w:pPr>
              <w:pStyle w:val="TableContents"/>
              <w:bidi w:val="0"/>
              <w:spacing w:before="0" w:after="283"/>
              <w:ind w:left="180" w:right="0" w:hanging="0"/>
              <w:jc w:val="left"/>
              <w:rPr/>
            </w:pPr>
            <w:r>
              <w:rPr/>
              <w:t> </w:t>
            </w:r>
          </w:p>
        </w:tc>
      </w:tr>
      <w:tr>
        <w:trPr/>
        <w:tc>
          <w:tcPr>
            <w:tcW w:w="593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Fair value adjustment related to derivative and warrant liability</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ind w:left="0" w:right="0" w:hanging="0"/>
              <w:jc w:val="left"/>
              <w:rPr/>
            </w:pPr>
            <w:r>
              <w:rPr/>
              <w:t> </w:t>
            </w:r>
          </w:p>
        </w:tc>
        <w:tc>
          <w:tcPr>
            <w:tcW w:w="96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11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ind w:left="0" w:right="0" w:hanging="0"/>
              <w:jc w:val="left"/>
              <w:rPr/>
            </w:pPr>
            <w:r>
              <w:rPr/>
              <w:t> </w:t>
            </w:r>
          </w:p>
        </w:tc>
        <w:tc>
          <w:tcPr>
            <w:tcW w:w="10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(241</w:t>
            </w:r>
          </w:p>
        </w:tc>
        <w:tc>
          <w:tcPr>
            <w:tcW w:w="80" w:type="dxa"/>
            <w:tcBorders/>
            <w:shd w:fill="CCEEFF" w:val="clear"/>
            <w:vAlign w:val="center"/>
          </w:tcPr>
          <w:p>
            <w:pPr>
              <w:pStyle w:val="TableContents"/>
              <w:bidi w:val="0"/>
              <w:spacing w:before="0" w:after="283"/>
              <w:ind w:left="180" w:right="0" w:hanging="0"/>
              <w:jc w:val="left"/>
              <w:rPr>
                <w:rFonts w:ascii="Times New Roman" w:hAnsi="Times New Roman"/>
                <w:sz w:val="20"/>
              </w:rPr>
            </w:pPr>
            <w:r>
              <w:rPr>
                <w:rFonts w:ascii="Times New Roman" w:hAnsi="Times New Roman"/>
                <w:sz w:val="20"/>
              </w:rPr>
              <w:t>)</w:t>
            </w:r>
          </w:p>
        </w:tc>
      </w:tr>
      <w:tr>
        <w:trPr/>
        <w:tc>
          <w:tcPr>
            <w:tcW w:w="593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Fair value adjustment related to investments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ind w:left="0" w:right="0" w:hanging="0"/>
              <w:jc w:val="left"/>
              <w:rPr/>
            </w:pPr>
            <w:r>
              <w:rPr/>
              <w:t> </w:t>
            </w:r>
          </w:p>
        </w:tc>
        <w:tc>
          <w:tcPr>
            <w:tcW w:w="96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(196</w:t>
            </w:r>
          </w:p>
        </w:tc>
        <w:tc>
          <w:tcPr>
            <w:tcW w:w="11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ind w:left="0" w:right="0" w:hanging="0"/>
              <w:jc w:val="left"/>
              <w:rPr/>
            </w:pPr>
            <w:r>
              <w:rPr/>
              <w:t> </w:t>
            </w:r>
          </w:p>
        </w:tc>
        <w:tc>
          <w:tcPr>
            <w:tcW w:w="103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352</w:t>
            </w:r>
          </w:p>
        </w:tc>
        <w:tc>
          <w:tcPr>
            <w:tcW w:w="80" w:type="dxa"/>
            <w:tcBorders/>
            <w:shd w:fill="FFFFFF" w:val="clear"/>
            <w:vAlign w:val="center"/>
          </w:tcPr>
          <w:p>
            <w:pPr>
              <w:pStyle w:val="TableContents"/>
              <w:bidi w:val="0"/>
              <w:spacing w:before="0" w:after="283"/>
              <w:ind w:left="180" w:right="0" w:hanging="0"/>
              <w:jc w:val="left"/>
              <w:rPr/>
            </w:pPr>
            <w:r>
              <w:rPr/>
              <w:t> </w:t>
            </w:r>
          </w:p>
        </w:tc>
      </w:tr>
      <w:tr>
        <w:trPr/>
        <w:tc>
          <w:tcPr>
            <w:tcW w:w="593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Consulting fees paid in common stock</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ind w:left="0" w:right="0" w:hanging="0"/>
              <w:jc w:val="left"/>
              <w:rPr/>
            </w:pPr>
            <w:r>
              <w:rPr/>
              <w:t> </w:t>
            </w:r>
          </w:p>
        </w:tc>
        <w:tc>
          <w:tcPr>
            <w:tcW w:w="96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w:t>
            </w:r>
          </w:p>
        </w:tc>
        <w:tc>
          <w:tcPr>
            <w:tcW w:w="11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ind w:left="0" w:right="0" w:hanging="0"/>
              <w:jc w:val="left"/>
              <w:rPr/>
            </w:pPr>
            <w:r>
              <w:rPr/>
              <w:t> </w:t>
            </w:r>
          </w:p>
        </w:tc>
        <w:tc>
          <w:tcPr>
            <w:tcW w:w="10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w:t>
            </w:r>
          </w:p>
        </w:tc>
        <w:tc>
          <w:tcPr>
            <w:tcW w:w="80" w:type="dxa"/>
            <w:tcBorders/>
            <w:shd w:fill="CCEEFF" w:val="clear"/>
            <w:vAlign w:val="center"/>
          </w:tcPr>
          <w:p>
            <w:pPr>
              <w:pStyle w:val="TableContents"/>
              <w:bidi w:val="0"/>
              <w:spacing w:before="0" w:after="283"/>
              <w:ind w:left="180" w:right="0" w:hanging="0"/>
              <w:jc w:val="left"/>
              <w:rPr/>
            </w:pPr>
            <w:r>
              <w:rPr/>
              <w:t> </w:t>
            </w:r>
          </w:p>
        </w:tc>
      </w:tr>
      <w:tr>
        <w:trPr/>
        <w:tc>
          <w:tcPr>
            <w:tcW w:w="593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Gain on foreign currency exchange</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ind w:left="0" w:right="0" w:hanging="0"/>
              <w:jc w:val="left"/>
              <w:rPr/>
            </w:pPr>
            <w:r>
              <w:rPr/>
              <w:t> </w:t>
            </w:r>
          </w:p>
        </w:tc>
        <w:tc>
          <w:tcPr>
            <w:tcW w:w="96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w:t>
            </w:r>
          </w:p>
        </w:tc>
        <w:tc>
          <w:tcPr>
            <w:tcW w:w="11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ind w:left="0" w:right="0" w:hanging="0"/>
              <w:jc w:val="left"/>
              <w:rPr/>
            </w:pPr>
            <w:r>
              <w:rPr/>
              <w:t> </w:t>
            </w:r>
          </w:p>
        </w:tc>
        <w:tc>
          <w:tcPr>
            <w:tcW w:w="103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ind w:left="180" w:right="0" w:hanging="0"/>
              <w:jc w:val="left"/>
              <w:rPr/>
            </w:pPr>
            <w:r>
              <w:rPr/>
              <w:t> </w:t>
            </w:r>
          </w:p>
        </w:tc>
      </w:tr>
      <w:tr>
        <w:trPr/>
        <w:tc>
          <w:tcPr>
            <w:tcW w:w="593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Change in assets and liabilities: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180" w:right="0" w:hanging="0"/>
              <w:jc w:val="left"/>
              <w:rPr/>
            </w:pPr>
            <w:r>
              <w:rPr/>
              <w:t> </w:t>
            </w:r>
          </w:p>
        </w:tc>
      </w:tr>
      <w:tr>
        <w:trPr/>
        <w:tc>
          <w:tcPr>
            <w:tcW w:w="5930"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Accounts and other receivables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ind w:left="0" w:right="0" w:hanging="0"/>
              <w:jc w:val="left"/>
              <w:rPr/>
            </w:pPr>
            <w:r>
              <w:rPr/>
              <w:t> </w:t>
            </w:r>
          </w:p>
        </w:tc>
        <w:tc>
          <w:tcPr>
            <w:tcW w:w="96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477</w:t>
            </w:r>
          </w:p>
        </w:tc>
        <w:tc>
          <w:tcPr>
            <w:tcW w:w="11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ind w:left="0" w:right="0" w:hanging="0"/>
              <w:jc w:val="left"/>
              <w:rPr/>
            </w:pPr>
            <w:r>
              <w:rPr/>
              <w:t> </w:t>
            </w:r>
          </w:p>
        </w:tc>
        <w:tc>
          <w:tcPr>
            <w:tcW w:w="103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(1,792</w:t>
            </w:r>
          </w:p>
        </w:tc>
        <w:tc>
          <w:tcPr>
            <w:tcW w:w="80" w:type="dxa"/>
            <w:tcBorders/>
            <w:shd w:fill="FFFFFF" w:val="clear"/>
            <w:vAlign w:val="center"/>
          </w:tcPr>
          <w:p>
            <w:pPr>
              <w:pStyle w:val="TableContents"/>
              <w:bidi w:val="0"/>
              <w:spacing w:before="0" w:after="283"/>
              <w:ind w:left="180" w:right="0" w:hanging="0"/>
              <w:jc w:val="left"/>
              <w:rPr>
                <w:rFonts w:ascii="Times New Roman" w:hAnsi="Times New Roman"/>
                <w:sz w:val="20"/>
              </w:rPr>
            </w:pPr>
            <w:r>
              <w:rPr>
                <w:rFonts w:ascii="Times New Roman" w:hAnsi="Times New Roman"/>
                <w:sz w:val="20"/>
              </w:rPr>
              <w:t>)</w:t>
            </w:r>
          </w:p>
        </w:tc>
      </w:tr>
      <w:tr>
        <w:trPr/>
        <w:tc>
          <w:tcPr>
            <w:tcW w:w="5930"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ind w:left="0" w:right="0" w:hanging="0"/>
              <w:jc w:val="left"/>
              <w:rPr/>
            </w:pPr>
            <w:r>
              <w:rPr/>
              <w:t> </w:t>
            </w:r>
          </w:p>
        </w:tc>
        <w:tc>
          <w:tcPr>
            <w:tcW w:w="96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703</w:t>
            </w:r>
          </w:p>
        </w:tc>
        <w:tc>
          <w:tcPr>
            <w:tcW w:w="11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ind w:left="0" w:right="0" w:hanging="0"/>
              <w:jc w:val="left"/>
              <w:rPr/>
            </w:pPr>
            <w:r>
              <w:rPr/>
              <w:t> </w:t>
            </w:r>
          </w:p>
        </w:tc>
        <w:tc>
          <w:tcPr>
            <w:tcW w:w="10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303</w:t>
            </w:r>
          </w:p>
        </w:tc>
        <w:tc>
          <w:tcPr>
            <w:tcW w:w="80" w:type="dxa"/>
            <w:tcBorders/>
            <w:shd w:fill="CCEEFF" w:val="clear"/>
            <w:vAlign w:val="center"/>
          </w:tcPr>
          <w:p>
            <w:pPr>
              <w:pStyle w:val="TableContents"/>
              <w:bidi w:val="0"/>
              <w:spacing w:before="0" w:after="283"/>
              <w:ind w:left="180" w:right="0" w:hanging="0"/>
              <w:jc w:val="left"/>
              <w:rPr/>
            </w:pPr>
            <w:r>
              <w:rPr/>
              <w:t> </w:t>
            </w:r>
          </w:p>
        </w:tc>
      </w:tr>
      <w:tr>
        <w:trPr/>
        <w:tc>
          <w:tcPr>
            <w:tcW w:w="5930"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Inventories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ind w:left="0" w:right="0" w:hanging="0"/>
              <w:jc w:val="left"/>
              <w:rPr/>
            </w:pPr>
            <w:r>
              <w:rPr/>
              <w:t> </w:t>
            </w:r>
          </w:p>
        </w:tc>
        <w:tc>
          <w:tcPr>
            <w:tcW w:w="96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w:t>
            </w:r>
          </w:p>
        </w:tc>
        <w:tc>
          <w:tcPr>
            <w:tcW w:w="11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ind w:left="0" w:right="0" w:hanging="0"/>
              <w:jc w:val="left"/>
              <w:rPr/>
            </w:pPr>
            <w:r>
              <w:rPr/>
              <w:t> </w:t>
            </w:r>
          </w:p>
        </w:tc>
        <w:tc>
          <w:tcPr>
            <w:tcW w:w="103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ind w:left="180" w:right="0" w:hanging="0"/>
              <w:jc w:val="left"/>
              <w:rPr/>
            </w:pPr>
            <w:r>
              <w:rPr/>
              <w:t> </w:t>
            </w:r>
          </w:p>
        </w:tc>
      </w:tr>
      <w:tr>
        <w:trPr/>
        <w:tc>
          <w:tcPr>
            <w:tcW w:w="5930"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ind w:left="0" w:right="0" w:hanging="0"/>
              <w:jc w:val="left"/>
              <w:rPr/>
            </w:pPr>
            <w:r>
              <w:rPr/>
              <w:t> </w:t>
            </w:r>
          </w:p>
        </w:tc>
        <w:tc>
          <w:tcPr>
            <w:tcW w:w="96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w:t>
            </w:r>
          </w:p>
        </w:tc>
        <w:tc>
          <w:tcPr>
            <w:tcW w:w="11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ind w:left="0" w:right="0" w:hanging="0"/>
              <w:jc w:val="left"/>
              <w:rPr/>
            </w:pPr>
            <w:r>
              <w:rPr/>
              <w:t> </w:t>
            </w:r>
          </w:p>
        </w:tc>
        <w:tc>
          <w:tcPr>
            <w:tcW w:w="10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w:t>
            </w:r>
          </w:p>
        </w:tc>
        <w:tc>
          <w:tcPr>
            <w:tcW w:w="80" w:type="dxa"/>
            <w:tcBorders/>
            <w:shd w:fill="CCEEFF" w:val="clear"/>
            <w:vAlign w:val="center"/>
          </w:tcPr>
          <w:p>
            <w:pPr>
              <w:pStyle w:val="TableContents"/>
              <w:bidi w:val="0"/>
              <w:spacing w:before="0" w:after="283"/>
              <w:ind w:left="180" w:right="0" w:hanging="0"/>
              <w:jc w:val="left"/>
              <w:rPr/>
            </w:pPr>
            <w:r>
              <w:rPr/>
              <w:t> </w:t>
            </w:r>
          </w:p>
        </w:tc>
      </w:tr>
      <w:tr>
        <w:trPr/>
        <w:tc>
          <w:tcPr>
            <w:tcW w:w="5930"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ind w:left="0" w:right="0" w:hanging="0"/>
              <w:jc w:val="left"/>
              <w:rPr/>
            </w:pPr>
            <w:r>
              <w:rPr/>
              <w:t> </w:t>
            </w:r>
          </w:p>
        </w:tc>
        <w:tc>
          <w:tcPr>
            <w:tcW w:w="96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3,929</w:t>
            </w:r>
          </w:p>
        </w:tc>
        <w:tc>
          <w:tcPr>
            <w:tcW w:w="11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ind w:left="0" w:right="0" w:hanging="0"/>
              <w:jc w:val="left"/>
              <w:rPr/>
            </w:pPr>
            <w:r>
              <w:rPr/>
              <w:t> </w:t>
            </w:r>
          </w:p>
        </w:tc>
        <w:tc>
          <w:tcPr>
            <w:tcW w:w="103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(486</w:t>
            </w:r>
          </w:p>
        </w:tc>
        <w:tc>
          <w:tcPr>
            <w:tcW w:w="80" w:type="dxa"/>
            <w:tcBorders/>
            <w:shd w:fill="FFFFFF" w:val="clear"/>
            <w:vAlign w:val="center"/>
          </w:tcPr>
          <w:p>
            <w:pPr>
              <w:pStyle w:val="TableContents"/>
              <w:bidi w:val="0"/>
              <w:spacing w:before="0" w:after="283"/>
              <w:ind w:left="180" w:right="0" w:hanging="0"/>
              <w:jc w:val="left"/>
              <w:rPr>
                <w:rFonts w:ascii="Times New Roman" w:hAnsi="Times New Roman"/>
                <w:sz w:val="20"/>
              </w:rPr>
            </w:pPr>
            <w:r>
              <w:rPr>
                <w:rFonts w:ascii="Times New Roman" w:hAnsi="Times New Roman"/>
                <w:sz w:val="20"/>
              </w:rPr>
              <w:t>)</w:t>
            </w:r>
          </w:p>
        </w:tc>
      </w:tr>
      <w:tr>
        <w:trPr/>
        <w:tc>
          <w:tcPr>
            <w:tcW w:w="5930"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Discount and rebate liability</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ind w:left="0" w:right="0" w:hanging="0"/>
              <w:jc w:val="left"/>
              <w:rPr/>
            </w:pPr>
            <w:r>
              <w:rPr/>
              <w:t> </w:t>
            </w:r>
          </w:p>
        </w:tc>
        <w:tc>
          <w:tcPr>
            <w:tcW w:w="96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1,528</w:t>
            </w:r>
          </w:p>
        </w:tc>
        <w:tc>
          <w:tcPr>
            <w:tcW w:w="11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ind w:left="0" w:right="0" w:hanging="0"/>
              <w:jc w:val="left"/>
              <w:rPr/>
            </w:pPr>
            <w:r>
              <w:rPr/>
              <w:t> </w:t>
            </w:r>
          </w:p>
        </w:tc>
        <w:tc>
          <w:tcPr>
            <w:tcW w:w="103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ind w:left="180" w:right="0" w:hanging="0"/>
              <w:jc w:val="left"/>
              <w:rPr/>
            </w:pPr>
            <w:r>
              <w:rPr/>
              <w:t> </w:t>
            </w:r>
          </w:p>
        </w:tc>
      </w:tr>
      <w:tr>
        <w:trPr/>
        <w:tc>
          <w:tcPr>
            <w:tcW w:w="5930"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Operating lease liabilities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ind w:left="0" w:right="0" w:hanging="0"/>
              <w:jc w:val="left"/>
              <w:rPr/>
            </w:pPr>
            <w:r>
              <w:rPr/>
              <w:t> </w:t>
            </w:r>
          </w:p>
        </w:tc>
        <w:tc>
          <w:tcPr>
            <w:tcW w:w="96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w:t>
            </w:r>
          </w:p>
        </w:tc>
        <w:tc>
          <w:tcPr>
            <w:tcW w:w="11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ind w:left="0" w:right="0" w:hanging="0"/>
              <w:jc w:val="left"/>
              <w:rPr/>
            </w:pPr>
            <w:r>
              <w:rPr/>
              <w:t> </w:t>
            </w:r>
          </w:p>
        </w:tc>
        <w:tc>
          <w:tcPr>
            <w:tcW w:w="103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w:t>
            </w:r>
          </w:p>
        </w:tc>
        <w:tc>
          <w:tcPr>
            <w:tcW w:w="80" w:type="dxa"/>
            <w:tcBorders/>
            <w:shd w:fill="FFFFFF" w:val="clear"/>
            <w:vAlign w:val="center"/>
          </w:tcPr>
          <w:p>
            <w:pPr>
              <w:pStyle w:val="TableContents"/>
              <w:bidi w:val="0"/>
              <w:spacing w:before="0" w:after="283"/>
              <w:ind w:left="180" w:right="0" w:hanging="0"/>
              <w:jc w:val="left"/>
              <w:rPr>
                <w:rFonts w:ascii="Times New Roman" w:hAnsi="Times New Roman"/>
                <w:sz w:val="20"/>
              </w:rPr>
            </w:pPr>
            <w:r>
              <w:rPr>
                <w:rFonts w:ascii="Times New Roman" w:hAnsi="Times New Roman"/>
                <w:sz w:val="20"/>
              </w:rPr>
              <w:t>)</w:t>
            </w:r>
          </w:p>
        </w:tc>
      </w:tr>
      <w:tr>
        <w:trPr/>
        <w:tc>
          <w:tcPr>
            <w:tcW w:w="5930"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Other liabilities</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429</w:t>
            </w:r>
          </w:p>
        </w:tc>
        <w:tc>
          <w:tcPr>
            <w:tcW w:w="11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(4,045</w:t>
            </w:r>
          </w:p>
        </w:tc>
        <w:tc>
          <w:tcPr>
            <w:tcW w:w="119"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9" w:type="dxa"/>
            <w:tcBorders/>
            <w:shd w:fill="FFFFFF" w:val="clear"/>
            <w:vAlign w:val="center"/>
          </w:tcPr>
          <w:p>
            <w:pPr>
              <w:pStyle w:val="TableContents"/>
              <w:bidi w:val="0"/>
              <w:spacing w:before="0" w:after="283"/>
              <w:jc w:val="left"/>
              <w:rPr/>
            </w:pPr>
            <w:r>
              <w:rPr/>
              <w:t> </w:t>
            </w:r>
          </w:p>
        </w:tc>
        <w:tc>
          <w:tcPr>
            <w:tcW w:w="1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(3,553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Purchases of property and equipment</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ind w:left="0" w:right="0" w:hanging="0"/>
              <w:jc w:val="left"/>
              <w:rPr/>
            </w:pPr>
            <w:r>
              <w:rPr/>
              <w:t> </w:t>
            </w:r>
          </w:p>
        </w:tc>
        <w:tc>
          <w:tcPr>
            <w:tcW w:w="96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w:t>
            </w:r>
          </w:p>
        </w:tc>
        <w:tc>
          <w:tcPr>
            <w:tcW w:w="11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ind w:left="0" w:right="0" w:hanging="0"/>
              <w:jc w:val="left"/>
              <w:rPr/>
            </w:pPr>
            <w:r>
              <w:rPr/>
              <w:t> </w:t>
            </w:r>
          </w:p>
        </w:tc>
        <w:tc>
          <w:tcPr>
            <w:tcW w:w="10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Purchases of investments</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(17,526</w:t>
            </w:r>
          </w:p>
        </w:tc>
        <w:tc>
          <w:tcPr>
            <w:tcW w:w="119"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9" w:type="dxa"/>
            <w:tcBorders/>
            <w:shd w:fill="FFFFFF" w:val="clear"/>
            <w:vAlign w:val="center"/>
          </w:tcPr>
          <w:p>
            <w:pPr>
              <w:pStyle w:val="TableContents"/>
              <w:bidi w:val="0"/>
              <w:spacing w:before="0" w:after="283"/>
              <w:jc w:val="left"/>
              <w:rPr/>
            </w:pPr>
            <w:r>
              <w:rPr/>
              <w:t> </w:t>
            </w:r>
          </w:p>
        </w:tc>
        <w:tc>
          <w:tcPr>
            <w:tcW w:w="1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(3,832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(17,555</w:t>
            </w:r>
          </w:p>
        </w:tc>
        <w:tc>
          <w:tcPr>
            <w:tcW w:w="119"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9" w:type="dxa"/>
            <w:tcBorders/>
            <w:shd w:fill="CCEEFF" w:val="clear"/>
            <w:vAlign w:val="center"/>
          </w:tcPr>
          <w:p>
            <w:pPr>
              <w:pStyle w:val="TableContents"/>
              <w:bidi w:val="0"/>
              <w:spacing w:before="0" w:after="283"/>
              <w:jc w:val="left"/>
              <w:rPr/>
            </w:pPr>
            <w:r>
              <w:rPr/>
              <w:t> </w:t>
            </w:r>
          </w:p>
        </w:tc>
        <w:tc>
          <w:tcPr>
            <w:tcW w:w="18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(3,848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Proceeds from issuance of debt</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ind w:left="0" w:right="0" w:hanging="0"/>
              <w:jc w:val="left"/>
              <w:rPr/>
            </w:pPr>
            <w:r>
              <w:rPr/>
              <w:t> </w:t>
            </w:r>
          </w:p>
        </w:tc>
        <w:tc>
          <w:tcPr>
            <w:tcW w:w="96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12,914</w:t>
            </w:r>
          </w:p>
        </w:tc>
        <w:tc>
          <w:tcPr>
            <w:tcW w:w="11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ind w:left="0" w:right="0" w:hanging="0"/>
              <w:jc w:val="left"/>
              <w:rPr/>
            </w:pPr>
            <w:r>
              <w:rPr/>
              <w:t> </w:t>
            </w:r>
          </w:p>
        </w:tc>
        <w:tc>
          <w:tcPr>
            <w:tcW w:w="103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Repayment of debt</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ind w:left="0" w:right="0" w:hanging="0"/>
              <w:jc w:val="left"/>
              <w:rPr/>
            </w:pPr>
            <w:r>
              <w:rPr/>
              <w:t> </w:t>
            </w:r>
          </w:p>
        </w:tc>
        <w:tc>
          <w:tcPr>
            <w:tcW w:w="96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(12,800</w:t>
            </w:r>
          </w:p>
        </w:tc>
        <w:tc>
          <w:tcPr>
            <w:tcW w:w="11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ind w:left="0" w:right="0" w:hanging="0"/>
              <w:jc w:val="left"/>
              <w:rPr/>
            </w:pPr>
            <w:r>
              <w:rPr/>
              <w:t> </w:t>
            </w:r>
          </w:p>
        </w:tc>
        <w:tc>
          <w:tcPr>
            <w:tcW w:w="103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Payments of principal on insurance financing arrangements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ind w:left="0" w:right="0" w:hanging="0"/>
              <w:jc w:val="left"/>
              <w:rPr/>
            </w:pPr>
            <w:r>
              <w:rPr/>
              <w:t> </w:t>
            </w:r>
          </w:p>
        </w:tc>
        <w:tc>
          <w:tcPr>
            <w:tcW w:w="96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(415</w:t>
            </w:r>
          </w:p>
        </w:tc>
        <w:tc>
          <w:tcPr>
            <w:tcW w:w="11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ind w:left="0" w:right="0" w:hanging="0"/>
              <w:jc w:val="left"/>
              <w:rPr/>
            </w:pPr>
            <w:r>
              <w:rPr/>
              <w:t> </w:t>
            </w:r>
          </w:p>
        </w:tc>
        <w:tc>
          <w:tcPr>
            <w:tcW w:w="103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Payment to repurchase shares as part of the share repurchase program</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ind w:left="0" w:right="0" w:hanging="0"/>
              <w:jc w:val="left"/>
              <w:rPr/>
            </w:pPr>
            <w:r>
              <w:rPr/>
              <w:t> </w:t>
            </w:r>
          </w:p>
        </w:tc>
        <w:tc>
          <w:tcPr>
            <w:tcW w:w="96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(3,447</w:t>
            </w:r>
          </w:p>
        </w:tc>
        <w:tc>
          <w:tcPr>
            <w:tcW w:w="11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ind w:left="0" w:right="0" w:hanging="0"/>
              <w:jc w:val="left"/>
              <w:rPr/>
            </w:pPr>
            <w:r>
              <w:rPr/>
              <w:t> </w:t>
            </w:r>
          </w:p>
        </w:tc>
        <w:tc>
          <w:tcPr>
            <w:tcW w:w="10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(4,723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Repayment of principal on finance lease liabilities</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119"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9" w:type="dxa"/>
            <w:tcBorders/>
            <w:shd w:fill="FFFFFF" w:val="clear"/>
            <w:vAlign w:val="center"/>
          </w:tcPr>
          <w:p>
            <w:pPr>
              <w:pStyle w:val="TableContents"/>
              <w:bidi w:val="0"/>
              <w:spacing w:before="0" w:after="283"/>
              <w:jc w:val="left"/>
              <w:rPr/>
            </w:pPr>
            <w:r>
              <w:rPr/>
              <w:t> </w:t>
            </w:r>
          </w:p>
        </w:tc>
        <w:tc>
          <w:tcPr>
            <w:tcW w:w="1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(3,750</w:t>
            </w:r>
          </w:p>
        </w:tc>
        <w:tc>
          <w:tcPr>
            <w:tcW w:w="119"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9" w:type="dxa"/>
            <w:tcBorders/>
            <w:shd w:fill="CCEEFF" w:val="clear"/>
            <w:vAlign w:val="center"/>
          </w:tcPr>
          <w:p>
            <w:pPr>
              <w:pStyle w:val="TableContents"/>
              <w:bidi w:val="0"/>
              <w:spacing w:before="0" w:after="283"/>
              <w:jc w:val="left"/>
              <w:rPr/>
            </w:pPr>
            <w:r>
              <w:rPr/>
              <w:t> </w:t>
            </w:r>
          </w:p>
        </w:tc>
        <w:tc>
          <w:tcPr>
            <w:tcW w:w="18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(4,733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Effect of exchange rate changes on cash and cash equivalents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ind w:left="0" w:right="0" w:hanging="0"/>
              <w:jc w:val="left"/>
              <w:rPr/>
            </w:pPr>
            <w:r>
              <w:rPr/>
              <w:t> </w:t>
            </w:r>
          </w:p>
        </w:tc>
        <w:tc>
          <w:tcPr>
            <w:tcW w:w="96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w:t>
            </w:r>
          </w:p>
        </w:tc>
        <w:tc>
          <w:tcPr>
            <w:tcW w:w="11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ind w:left="0" w:right="0" w:hanging="0"/>
              <w:jc w:val="left"/>
              <w:rPr/>
            </w:pPr>
            <w:r>
              <w:rPr/>
              <w:t> </w:t>
            </w:r>
          </w:p>
        </w:tc>
        <w:tc>
          <w:tcPr>
            <w:tcW w:w="103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ind w:left="0" w:right="0" w:hanging="0"/>
              <w:jc w:val="left"/>
              <w:rPr/>
            </w:pPr>
            <w:r>
              <w:rPr/>
              <w:t> </w:t>
            </w:r>
          </w:p>
        </w:tc>
        <w:tc>
          <w:tcPr>
            <w:tcW w:w="96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(25,285</w:t>
            </w:r>
          </w:p>
        </w:tc>
        <w:tc>
          <w:tcPr>
            <w:tcW w:w="11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ind w:left="0" w:right="0" w:hanging="0"/>
              <w:jc w:val="left"/>
              <w:rPr/>
            </w:pPr>
            <w:r>
              <w:rPr/>
              <w:t> </w:t>
            </w:r>
          </w:p>
        </w:tc>
        <w:tc>
          <w:tcPr>
            <w:tcW w:w="10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(12,134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 beginning of period</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65,466</w:t>
            </w:r>
          </w:p>
        </w:tc>
        <w:tc>
          <w:tcPr>
            <w:tcW w:w="11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112,346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40,181</w:t>
            </w:r>
          </w:p>
        </w:tc>
        <w:tc>
          <w:tcPr>
            <w:tcW w:w="11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1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100,212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Supplemental cash flow information:</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paid for interest</w:t>
            </w:r>
          </w:p>
        </w:tc>
        <w:tc>
          <w:tcPr>
            <w:tcW w:w="60" w:type="dxa"/>
            <w:tcBorders/>
            <w:shd w:fill="FFFFFF" w:val="clear"/>
            <w:vAlign w:val="center"/>
          </w:tcPr>
          <w:p>
            <w:pPr>
              <w:pStyle w:val="TableContents"/>
              <w:bidi w:val="0"/>
              <w:spacing w:before="0" w:after="283"/>
              <w:ind w:left="0" w:right="0" w:hanging="0"/>
              <w:jc w:val="left"/>
              <w:rPr/>
            </w:pPr>
            <w:r>
              <w:rPr/>
              <w:t> </w:t>
            </w:r>
          </w:p>
        </w:tc>
        <w:tc>
          <w:tcPr>
            <w:tcW w:w="186"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w:t>
            </w:r>
          </w:p>
        </w:tc>
        <w:tc>
          <w:tcPr>
            <w:tcW w:w="11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86"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3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See accompanying notes to unaudited condensed consolidated financial statements.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bookmarkStart w:id="8" w:name="notes"/>
      <w:bookmarkEnd w:id="8"/>
      <w:r>
        <w:rPr>
          <w:rFonts w:ascii="Times New Roman;Times;serif" w:hAnsi="Times New Roman;Times;serif"/>
          <w:b/>
          <w:sz w:val="20"/>
        </w:rPr>
        <w:t>ZEVRA THERAPEUTICS,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7900" w:type="dxa"/>
        <w:jc w:val="left"/>
        <w:tblInd w:w="0" w:type="dxa"/>
        <w:tblLayout w:type="fixed"/>
        <w:tblCellMar>
          <w:top w:w="0" w:type="dxa"/>
          <w:left w:w="0" w:type="dxa"/>
          <w:bottom w:w="0" w:type="dxa"/>
          <w:right w:w="0" w:type="dxa"/>
        </w:tblCellMar>
      </w:tblPr>
      <w:tblGrid>
        <w:gridCol w:w="260"/>
        <w:gridCol w:w="7640"/>
      </w:tblGrid>
      <w:tr>
        <w:trPr/>
        <w:tc>
          <w:tcPr>
            <w:tcW w:w="260" w:type="dxa"/>
            <w:tcBorders/>
            <w:vAlign w:val="center"/>
          </w:tcPr>
          <w:p>
            <w:pPr>
              <w:pStyle w:val="TableContents"/>
              <w:bidi w:val="0"/>
              <w:spacing w:before="0" w:after="283"/>
              <w:jc w:val="left"/>
              <w:rPr>
                <w:b/>
              </w:rPr>
            </w:pPr>
            <w:r>
              <w:rPr>
                <w:b/>
              </w:rPr>
              <w:t>A.</w:t>
            </w:r>
          </w:p>
        </w:tc>
        <w:tc>
          <w:tcPr>
            <w:tcW w:w="7640" w:type="dxa"/>
            <w:tcBorders/>
            <w:vAlign w:val="center"/>
          </w:tcPr>
          <w:p>
            <w:pPr>
              <w:pStyle w:val="TableContents"/>
              <w:bidi w:val="0"/>
              <w:spacing w:before="0" w:after="283"/>
              <w:jc w:val="left"/>
              <w:rPr>
                <w:b/>
              </w:rPr>
            </w:pPr>
            <w:r>
              <w:rPr>
                <w:b/>
              </w:rPr>
              <w:t>Description of Business, Basis of Presentation, and Significant Transactions</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Zevra Therapeutics, Inc. (the "Company") is a rare disease company melding science, data and patient need to create transformational therapies for diseases with limited or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treatment options. The Company has a diverse portfolio of products and product candidates, which includes a combination of both a clinical stage pipeline and commercial stage assets. The Company's pipeline includes arimoclomol, an orally-delivered,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-in-class investigational product candidate being developed for Niemann-Pick disease type C ("NPC"), which has been granted orphan drug designation, Fast-track designation, Breakthrough Therapy designation and rare pediatric disease designation for the treatment of NPC by the U.S. Food and Drug Administration ("FDA") and orphan medical product designation for the treatment of NPC by the European Medicines Agency ("EMA"). </w:t>
      </w:r>
      <w:r>
        <w:rPr>
          <w:rStyle w:val="Emphasis"/>
          <w:rFonts w:ascii="Times New Roman" w:hAnsi="Times New Roman"/>
          <w:caps w:val="false"/>
          <w:smallCaps w:val="false"/>
          <w:sz w:val="20"/>
        </w:rPr>
        <w:t>KP1077</w:t>
      </w:r>
      <w:r>
        <w:rPr>
          <w:rFonts w:ascii="Times New Roman" w:hAnsi="Times New Roman"/>
          <w:caps w:val="false"/>
          <w:smallCaps w:val="false"/>
          <w:sz w:val="20"/>
        </w:rPr>
        <w:t xml:space="preserve"> is the Company's lead clinical development product candidate which is b</w:t>
      </w:r>
      <w:r>
        <w:rPr>
          <w:rFonts w:ascii="Times New Roman" w:hAnsi="Times New Roman"/>
          <w:caps w:val="false"/>
          <w:smallCaps w:val="false"/>
          <w:sz w:val="20"/>
          <w:shd w:fill="FFFFFF" w:val="clear"/>
        </w:rPr>
        <w:t xml:space="preserve">eing developed as a treatment for idiopathic hypersomnia ("IH"), a rare neurological sleep disorder, and narcolepsy. </w:t>
      </w:r>
      <w:r>
        <w:rPr>
          <w:rStyle w:val="Emphasis"/>
          <w:rFonts w:ascii="Times New Roman" w:hAnsi="Times New Roman"/>
          <w:caps w:val="false"/>
          <w:smallCaps w:val="false"/>
          <w:sz w:val="20"/>
          <w:shd w:fill="FFFFFF" w:val="clear"/>
        </w:rPr>
        <w:t>KP1077</w:t>
      </w:r>
      <w:r>
        <w:rPr>
          <w:rFonts w:ascii="Times New Roman" w:hAnsi="Times New Roman"/>
          <w:caps w:val="false"/>
          <w:smallCaps w:val="false"/>
          <w:sz w:val="20"/>
          <w:shd w:fill="FFFFFF" w:val="clear"/>
        </w:rPr>
        <w:t xml:space="preserve"> is comprised solely of serdexmethylphenidate ("SDX"), the Company's proprietary prodrug of d-methylphenidate (“d-MPH”). The FDA has granted </w:t>
      </w:r>
      <w:r>
        <w:rPr>
          <w:rStyle w:val="Emphasis"/>
          <w:rFonts w:ascii="Times New Roman" w:hAnsi="Times New Roman"/>
          <w:caps w:val="false"/>
          <w:smallCaps w:val="false"/>
          <w:sz w:val="20"/>
          <w:shd w:fill="FFFFFF" w:val="clear"/>
        </w:rPr>
        <w:t>KP1077</w:t>
      </w:r>
      <w:r>
        <w:rPr>
          <w:rFonts w:ascii="Times New Roman" w:hAnsi="Times New Roman"/>
          <w:caps w:val="false"/>
          <w:smallCaps w:val="false"/>
          <w:sz w:val="20"/>
          <w:shd w:fill="FFFFFF" w:val="clear"/>
        </w:rPr>
        <w:t xml:space="preserve"> orphan drug designation for the treatment of IH. The Company changed its name from KemPharm, Inc. to Zevra Therapeutics, Inc. effective as of </w:t>
      </w:r>
      <w:r>
        <w:rPr>
          <w:rStyle w:val="Emphasis"/>
          <w:rFonts w:ascii="Times New Roman" w:hAnsi="Times New Roman"/>
          <w:caps w:val="false"/>
          <w:smallCaps w:val="false"/>
          <w:sz w:val="20"/>
          <w:shd w:fill="FFFFFF" w:val="clear"/>
        </w:rPr>
        <w:t>February 21,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shd w:fill="FFFFFF" w:val="clear"/>
        </w:rPr>
        <w:t xml:space="preserve">The accompanying unaudited condensed consolidated financial statements have been prepared in accordance with accounting principles generally accepted in the United States of America ("U.S. GAAP") for interim financial information and with the instructions </w:t>
      </w:r>
      <w:r>
        <w:rPr>
          <w:rFonts w:ascii="Times New Roman" w:hAnsi="Times New Roman"/>
          <w:caps w:val="false"/>
          <w:smallCaps w:val="false"/>
          <w:sz w:val="20"/>
        </w:rPr>
        <w:t>to Form </w:t>
      </w:r>
      <w:r>
        <w:rPr>
          <w:rStyle w:val="Emphasis"/>
          <w:rFonts w:ascii="Times New Roman" w:hAnsi="Times New Roman"/>
          <w:caps w:val="false"/>
          <w:smallCaps w:val="false"/>
          <w:sz w:val="20"/>
        </w:rPr>
        <w:t>10</w:t>
      </w:r>
      <w:r>
        <w:rPr>
          <w:rFonts w:ascii="Times New Roman" w:hAnsi="Times New Roman"/>
          <w:caps w:val="false"/>
          <w:smallCaps w:val="false"/>
          <w:sz w:val="20"/>
        </w:rPr>
        <w:t>-Q and Rule </w:t>
      </w:r>
      <w:r>
        <w:rPr>
          <w:rStyle w:val="Emphasis"/>
          <w:rFonts w:ascii="Times New Roman" w:hAnsi="Times New Roman"/>
          <w:caps w:val="false"/>
          <w:smallCaps w:val="false"/>
          <w:sz w:val="20"/>
        </w:rPr>
        <w:t>8</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of Regulation S-</w:t>
      </w:r>
      <w:r>
        <w:rPr>
          <w:rStyle w:val="Emphasis"/>
          <w:rFonts w:ascii="Times New Roman" w:hAnsi="Times New Roman"/>
          <w:caps w:val="false"/>
          <w:smallCaps w:val="false"/>
          <w:sz w:val="20"/>
        </w:rPr>
        <w:t>X.</w:t>
      </w:r>
      <w:r>
        <w:rPr>
          <w:rFonts w:ascii="Times New Roman" w:hAnsi="Times New Roman"/>
          <w:caps w:val="false"/>
          <w:smallCaps w:val="false"/>
          <w:sz w:val="20"/>
        </w:rPr>
        <w:t> Accordingly, they do </w:t>
      </w:r>
      <w:r>
        <w:rPr>
          <w:rStyle w:val="Emphasis"/>
          <w:rFonts w:ascii="Times New Roman" w:hAnsi="Times New Roman"/>
          <w:caps w:val="false"/>
          <w:smallCaps w:val="false"/>
          <w:sz w:val="20"/>
        </w:rPr>
        <w:t>not</w:t>
      </w:r>
      <w:r>
        <w:rPr>
          <w:rFonts w:ascii="Times New Roman" w:hAnsi="Times New Roman"/>
          <w:caps w:val="false"/>
          <w:smallCaps w:val="false"/>
          <w:sz w:val="20"/>
        </w:rPr>
        <w:t> include all of the information and related notes required by U.S. GAAP for complete financial statements. In the opinion of management, all adjustments (consisting of normal recurring adjustments) considered necessary for a fair presentation have been included in the accompanying consolidated financial statements. Operating results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are </w:t>
      </w:r>
      <w:r>
        <w:rPr>
          <w:rStyle w:val="Emphasis"/>
          <w:rFonts w:ascii="Times New Roman" w:hAnsi="Times New Roman"/>
          <w:caps w:val="false"/>
          <w:smallCaps w:val="false"/>
          <w:sz w:val="20"/>
        </w:rPr>
        <w:t>not</w:t>
      </w:r>
      <w:r>
        <w:rPr>
          <w:rFonts w:ascii="Times New Roman" w:hAnsi="Times New Roman"/>
          <w:caps w:val="false"/>
          <w:smallCaps w:val="false"/>
          <w:sz w:val="20"/>
        </w:rPr>
        <w:t> necessarily indicative of the results that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be expected for the full year ending </w:t>
      </w:r>
      <w:r>
        <w:rPr>
          <w:rStyle w:val="Emphasis"/>
          <w:rFonts w:ascii="Times New Roman" w:hAnsi="Times New Roman"/>
          <w:caps w:val="false"/>
          <w:smallCaps w:val="false"/>
          <w:sz w:val="20"/>
        </w:rPr>
        <w:t xml:space="preserve">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This interim information should be read in conjunction with the audited financial statements included in the Company’s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-K for the fiscal year ended </w:t>
      </w:r>
      <w:r>
        <w:rPr>
          <w:rStyle w:val="Emphasis"/>
          <w:rFonts w:ascii="Times New Roman" w:hAnsi="Times New Roman"/>
          <w:caps w:val="false"/>
          <w:smallCaps w:val="false"/>
          <w:sz w:val="20"/>
        </w:rPr>
        <w:t xml:space="preserve"> December 31, 2022, </w:t>
      </w:r>
      <w:r>
        <w:rPr>
          <w:rFonts w:ascii="Times New Roman" w:hAnsi="Times New Roman"/>
          <w:caps w:val="false"/>
          <w:smallCaps w:val="false"/>
          <w:sz w:val="20"/>
        </w:rPr>
        <w:t>filed with the United States Securities and Exchange Commission (“SEC”) on </w:t>
      </w:r>
      <w:r>
        <w:rPr>
          <w:rStyle w:val="Emphasis"/>
          <w:rFonts w:ascii="Times New Roman" w:hAnsi="Times New Roman"/>
          <w:caps w:val="false"/>
          <w:smallCaps w:val="false"/>
          <w:sz w:val="20"/>
        </w:rPr>
        <w:t xml:space="preserve"> March 7,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shd w:fill="FFFFFF" w:val="clear"/>
        </w:rPr>
      </w:pPr>
      <w:r>
        <w:rPr>
          <w:rFonts w:ascii="Times New Roman" w:hAnsi="Times New Roman"/>
          <w:b/>
          <w:i/>
          <w:caps w:val="false"/>
          <w:smallCaps w:val="false"/>
          <w:sz w:val="20"/>
          <w:shd w:fill="FFFFFF" w:val="clear"/>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The Company prepared the consolidated financial statements in accordance with U.S. GAAP and the rules and regulations of the SEC and, in the Company's opinion, reflect all adjustments, including normal recurring items that are necessary.</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Arimoclomol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shd w:fill="FFFFFF" w:val="clear"/>
        </w:rPr>
        <w:t xml:space="preserve">On </w:t>
      </w:r>
      <w:r>
        <w:rPr>
          <w:rStyle w:val="Emphasis"/>
          <w:rFonts w:ascii="Times New Roman" w:hAnsi="Times New Roman"/>
          <w:caps w:val="false"/>
          <w:smallCaps w:val="false"/>
          <w:sz w:val="20"/>
          <w:shd w:fill="FFFFFF" w:val="clear"/>
        </w:rPr>
        <w:t xml:space="preserve">May 15, 2022, </w:t>
      </w:r>
      <w:r>
        <w:rPr>
          <w:rFonts w:ascii="Times New Roman" w:hAnsi="Times New Roman"/>
          <w:caps w:val="false"/>
          <w:smallCaps w:val="false"/>
          <w:sz w:val="20"/>
          <w:shd w:fill="FFFFFF" w:val="clear"/>
        </w:rPr>
        <w:t xml:space="preserve">the Company and Zevra Denmark A/S (formerly known as KemPharm Denmark A/S prior to </w:t>
      </w:r>
      <w:r>
        <w:rPr>
          <w:rStyle w:val="Emphasis"/>
          <w:rFonts w:ascii="Times New Roman" w:hAnsi="Times New Roman"/>
          <w:caps w:val="false"/>
          <w:smallCaps w:val="false"/>
          <w:sz w:val="20"/>
          <w:shd w:fill="FFFFFF" w:val="clear"/>
        </w:rPr>
        <w:t>February 21, 2023) (</w:t>
      </w:r>
      <w:r>
        <w:rPr>
          <w:rFonts w:ascii="Times New Roman" w:hAnsi="Times New Roman"/>
          <w:caps w:val="false"/>
          <w:smallCaps w:val="false"/>
          <w:sz w:val="20"/>
          <w:shd w:fill="FFFFFF" w:val="clear"/>
        </w:rPr>
        <w:t>“Zevra DK”), a</w:t>
      </w:r>
      <w:r>
        <w:rPr>
          <w:rFonts w:ascii="Times New Roman" w:hAnsi="Times New Roman"/>
          <w:caps w:val="false"/>
          <w:smallCaps w:val="false"/>
          <w:sz w:val="20"/>
        </w:rPr>
        <w:t xml:space="preserve"> newly formed Danish company and wholly-owned subsidiary of the Company, entered into an asset purchase agreement (the “Arimoclomol Purchase Agreement”) with Orphazyme A/S in restructuring, a Danish public limited liability company (“Orphazyme”). The Arimoclomol Purchase Agreement closed on </w:t>
      </w:r>
      <w:r>
        <w:rPr>
          <w:rStyle w:val="Emphasis"/>
          <w:rFonts w:ascii="Times New Roman" w:hAnsi="Times New Roman"/>
          <w:caps w:val="false"/>
          <w:smallCaps w:val="false"/>
          <w:sz w:val="20"/>
        </w:rPr>
        <w:t xml:space="preserve">May 31, 2022. </w:t>
      </w:r>
      <w:r>
        <w:rPr>
          <w:rFonts w:ascii="Times New Roman" w:hAnsi="Times New Roman"/>
          <w:caps w:val="false"/>
          <w:smallCaps w:val="false"/>
          <w:sz w:val="20"/>
        </w:rPr>
        <w:t>Under the terms of the Arimoclomol Purchase Agreement, Zevra DK purchased all of the assets and operations of Orphazyme related to arimoclomol and settled all of Orphazyme’s actual outstanding liabilities to its creditors with a cash payment of $12.8 million. In addition, Zevra DK agreed to assume an estimated reserve liability of $5.2 million related to revenue generated from Orphazyme’s Early Access Program in France.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accounted for the arimoclomol acquisition as an asset acquisition as the majority of the value of the assets acquired related to the arimoclomol acquired in-process research and development (“IPR&amp;D”) asset. The intangible asset associated with IPR&amp;D relates to arimoclomol. The estimated fair value of $17.7 million was determined using the excess earnings valuation method, a variation of the income valuation approach. The excess earnings valuation method estimates the value of an intangible asset equal to the present value of the incremental after-tax cash flows attributable to that intangible asset over its remaining economic life. Some of the more significant assumptions utilized in the Company's asset valuations included projected revenues, probability of commercial success, and the discount rate. The fair value using the excess earnings valuation method was determined using an estimated weighted average cost of capital of 42%, which reflects the risks inherent in future cash flow projections and represents a rate of return that a market participant would expect for this asset. This fair value measurement was based on significant inputs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observable in the market and thus represent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fair value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In accordance with Accounting Standards Codification ("ASC"), Subtopic </w:t>
      </w:r>
      <w:r>
        <w:rPr>
          <w:rStyle w:val="Emphasis"/>
          <w:rFonts w:ascii="Times New Roman" w:hAnsi="Times New Roman"/>
          <w:caps w:val="false"/>
          <w:smallCaps w:val="false"/>
          <w:sz w:val="20"/>
        </w:rPr>
        <w:t>730</w:t>
      </w:r>
      <w:r>
        <w:rPr>
          <w:rFonts w:ascii="Times New Roman" w:hAnsi="Times New Roman"/>
          <w:caps w:val="false"/>
          <w:smallCaps w:val="false"/>
          <w:sz w:val="20"/>
        </w:rPr>
        <w:t>-</w:t>
      </w:r>
      <w:r>
        <w:rPr>
          <w:rStyle w:val="Emphasis"/>
          <w:rFonts w:ascii="Times New Roman" w:hAnsi="Times New Roman"/>
          <w:caps w:val="false"/>
          <w:smallCaps w:val="false"/>
          <w:sz w:val="20"/>
        </w:rPr>
        <w:t>10</w:t>
      </w:r>
      <w:r>
        <w:rPr>
          <w:rFonts w:ascii="Times New Roman" w:hAnsi="Times New Roman"/>
          <w:caps w:val="false"/>
          <w:smallCaps w:val="false"/>
          <w:sz w:val="20"/>
        </w:rPr>
        <w:t>-</w:t>
      </w:r>
      <w:r>
        <w:rPr>
          <w:rStyle w:val="Emphasis"/>
          <w:rFonts w:ascii="Times New Roman" w:hAnsi="Times New Roman"/>
          <w:caps w:val="false"/>
          <w:smallCaps w:val="false"/>
          <w:sz w:val="20"/>
        </w:rPr>
        <w:t>25,</w:t>
      </w:r>
      <w:r>
        <w:rPr>
          <w:rFonts w:ascii="Times New Roman" w:hAnsi="Times New Roman"/>
          <w:caps w:val="false"/>
          <w:smallCaps w:val="false"/>
          <w:sz w:val="20"/>
        </w:rPr>
        <w:t xml:space="preserve"> </w:t>
      </w:r>
      <w:r>
        <w:rPr>
          <w:rFonts w:ascii="Times New Roman" w:hAnsi="Times New Roman"/>
          <w:i/>
          <w:caps w:val="false"/>
          <w:smallCaps w:val="false"/>
          <w:sz w:val="20"/>
        </w:rPr>
        <w:t>Accounting for Research and Development Costs</w:t>
      </w:r>
      <w:r>
        <w:rPr>
          <w:rFonts w:ascii="Times New Roman" w:hAnsi="Times New Roman"/>
          <w:caps w:val="false"/>
          <w:smallCaps w:val="false"/>
          <w:sz w:val="20"/>
        </w:rPr>
        <w:t xml:space="preserve">, the up-front payments to acquire a new drug compound, as well as future milestone payments when paid or payable, are immediately expensed as acquired IPR&amp;D in transactions other than a business combination provided that the drug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achieved regulatory approval for marketing and, absent obtaining such approval, has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alternative future use. Therefore, the portion of the purchase price that was allocated to the IPR&amp;D assets acquired was immediately expensed. Other assets acquired and liabilities assumed, were recorded at fair value. The Company also recorde</w:t>
      </w:r>
      <w:r>
        <w:rPr>
          <w:rFonts w:ascii="Times New Roman" w:hAnsi="Times New Roman"/>
          <w:caps w:val="false"/>
          <w:smallCaps w:val="false"/>
          <w:sz w:val="20"/>
          <w:shd w:fill="FFFFFF" w:val="clear"/>
        </w:rPr>
        <w:t xml:space="preserve">d a $0.8 million income tax benefit for the year ended </w:t>
      </w:r>
      <w:r>
        <w:rPr>
          <w:rStyle w:val="Emphasis"/>
          <w:rFonts w:ascii="Times New Roman" w:hAnsi="Times New Roman"/>
          <w:caps w:val="false"/>
          <w:smallCaps w:val="false"/>
          <w:sz w:val="20"/>
          <w:shd w:fill="FFFFFF" w:val="clear"/>
        </w:rPr>
        <w:t>December 31,</w:t>
      </w:r>
      <w:r>
        <w:rPr>
          <w:rFonts w:ascii="Times New Roman" w:hAnsi="Times New Roman"/>
          <w:caps w:val="false"/>
          <w:smallCaps w:val="false"/>
          <w:sz w:val="20"/>
          <w:shd w:fill="FFFFFF" w:val="clear"/>
        </w:rPr>
        <w:t xml:space="preserve"> </w:t>
      </w:r>
      <w:r>
        <w:rPr>
          <w:rStyle w:val="Emphasis"/>
          <w:rFonts w:ascii="Times New Roman" w:hAnsi="Times New Roman"/>
          <w:caps w:val="false"/>
          <w:smallCaps w:val="false"/>
          <w:sz w:val="20"/>
          <w:shd w:fill="FFFFFF" w:val="clear"/>
        </w:rPr>
        <w:t>2022,</w:t>
      </w:r>
      <w:r>
        <w:rPr>
          <w:rFonts w:ascii="Times New Roman" w:hAnsi="Times New Roman"/>
          <w:caps w:val="false"/>
          <w:smallCaps w:val="false"/>
          <w:sz w:val="20"/>
          <w:shd w:fill="FFFFFF" w:val="clear"/>
        </w:rPr>
        <w:t xml:space="preserve"> related to research and development credits that are expected to be realized from the local jurisdiction in Denmark.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represents the consideration paid and purchase price allocation for the acquisition of arimoclomol (in thousands):</w:t>
      </w:r>
    </w:p>
    <w:p>
      <w:pPr>
        <w:pStyle w:val="TextBody"/>
        <w:bidi w:val="0"/>
        <w:spacing w:before="0" w:after="0"/>
        <w:ind w:left="0" w:right="0" w:hanging="0"/>
        <w:jc w:val="left"/>
        <w:rPr>
          <w:caps w:val="false"/>
          <w:smallCaps w:val="false"/>
        </w:rPr>
      </w:pPr>
      <w:r>
        <w:rPr>
          <w:caps w:val="false"/>
          <w:smallCaps w:val="false"/>
        </w:rPr>
        <w:t> </w:t>
      </w:r>
    </w:p>
    <w:tbl>
      <w:tblPr>
        <w:tblW w:w="6555" w:type="dxa"/>
        <w:jc w:val="left"/>
        <w:tblInd w:w="0" w:type="dxa"/>
        <w:tblLayout w:type="fixed"/>
        <w:tblCellMar>
          <w:top w:w="0" w:type="dxa"/>
          <w:left w:w="0" w:type="dxa"/>
          <w:bottom w:w="0" w:type="dxa"/>
          <w:right w:w="0" w:type="dxa"/>
        </w:tblCellMar>
      </w:tblPr>
      <w:tblGrid>
        <w:gridCol w:w="5705"/>
        <w:gridCol w:w="60"/>
        <w:gridCol w:w="125"/>
        <w:gridCol w:w="590"/>
        <w:gridCol w:w="75"/>
      </w:tblGrid>
      <w:tr>
        <w:trPr/>
        <w:tc>
          <w:tcPr>
            <w:tcW w:w="57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12,800</w:t>
            </w:r>
          </w:p>
        </w:tc>
        <w:tc>
          <w:tcPr>
            <w:tcW w:w="75"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Assumed reserve liability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5,200</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consideration</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18,000</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consideration</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18,000</w:t>
            </w:r>
          </w:p>
        </w:tc>
        <w:tc>
          <w:tcPr>
            <w:tcW w:w="75"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 transaction costs associated with the acquisition (1)</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1,290</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purchase price to be allocated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19,290</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inventory and assembled workforce acquired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1,627</w:t>
            </w:r>
          </w:p>
        </w:tc>
        <w:tc>
          <w:tcPr>
            <w:tcW w:w="75"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IPR&amp;D (2)</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17,663</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allocated purchase price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19,290</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 As a result of the asset acquisition accounting, the transaction costs associated with the acquisition should be included in the costs of the assets acquired and allocated amongst qualifying assets using the relative fair value basis. The transaction costs primarily included financial advisor fees and legal expenses.</w:t>
            </w:r>
          </w:p>
        </w:tc>
      </w:tr>
      <w:tr>
        <w:trPr/>
        <w:tc>
          <w:tcPr>
            <w:tcW w:w="10205" w:type="dxa"/>
            <w:tcBorders/>
            <w:vAlign w:val="center"/>
          </w:tcPr>
          <w:p>
            <w:pPr>
              <w:pStyle w:val="TableContents"/>
              <w:bidi w:val="0"/>
              <w:spacing w:before="0" w:after="283"/>
              <w:jc w:val="left"/>
              <w:rPr/>
            </w:pPr>
            <w:r>
              <w:rPr>
                <w:rFonts w:ascii="Times New Roman;Times;serif" w:hAnsi="Times New Roman;Times;serif"/>
                <w:sz w:val="20"/>
              </w:rPr>
              <w:t>(</w:t>
            </w:r>
            <w:r>
              <w:rPr>
                <w:rStyle w:val="Emphasis"/>
                <w:rFonts w:ascii="Times New Roman;Times;serif" w:hAnsi="Times New Roman;Times;serif"/>
                <w:sz w:val="20"/>
              </w:rPr>
              <w:t>2</w:t>
            </w:r>
            <w:r>
              <w:rPr>
                <w:rFonts w:ascii="Times New Roman;Times;serif" w:hAnsi="Times New Roman;Times;serif"/>
                <w:sz w:val="20"/>
              </w:rPr>
              <w:t>) The primary asset acquired, the IPR&amp;D asset, was expensed and the allocated transaction related costs were included with and expensed with this asset.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i/>
          <w:caps w:val="false"/>
          <w:smallCaps w:val="false"/>
          <w:sz w:val="20"/>
        </w:rPr>
        <w:t>Amendment to Registration Statement on Form S-</w:t>
      </w:r>
      <w:r>
        <w:rPr>
          <w:rStyle w:val="Emphasis"/>
          <w:rFonts w:ascii="Times New Roman" w:hAnsi="Times New Roman"/>
          <w:b/>
          <w:i/>
          <w:caps w:val="false"/>
          <w:smallCaps w:val="false"/>
          <w:sz w:val="2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25, 2022, </w:t>
      </w:r>
      <w:r>
        <w:rPr>
          <w:rFonts w:ascii="Times New Roman" w:hAnsi="Times New Roman"/>
          <w:caps w:val="false"/>
          <w:smallCaps w:val="false"/>
          <w:sz w:val="20"/>
        </w:rPr>
        <w:t>the Company filed an amendment to the registration statement on Form S-</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(File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333</w:t>
      </w:r>
      <w:r>
        <w:rPr>
          <w:rFonts w:ascii="Times New Roman" w:hAnsi="Times New Roman"/>
          <w:caps w:val="false"/>
          <w:smallCaps w:val="false"/>
          <w:sz w:val="20"/>
        </w:rPr>
        <w:t>-</w:t>
      </w:r>
      <w:r>
        <w:rPr>
          <w:rStyle w:val="Emphasis"/>
          <w:rFonts w:ascii="Times New Roman" w:hAnsi="Times New Roman"/>
          <w:caps w:val="false"/>
          <w:smallCaps w:val="false"/>
          <w:sz w:val="20"/>
        </w:rPr>
        <w:t>250945</w:t>
      </w:r>
      <w:r>
        <w:rPr>
          <w:rFonts w:ascii="Times New Roman" w:hAnsi="Times New Roman"/>
          <w:caps w:val="false"/>
          <w:smallCaps w:val="false"/>
          <w:sz w:val="20"/>
        </w:rPr>
        <w:t>) on Form S-</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covering the issuance of the shares of the Company's common stock issuable upon the exercise of the warrants issued in the Company's </w:t>
      </w:r>
      <w:r>
        <w:rPr>
          <w:rStyle w:val="Emphasis"/>
          <w:rFonts w:ascii="Times New Roman" w:hAnsi="Times New Roman"/>
          <w:caps w:val="false"/>
          <w:smallCaps w:val="false"/>
          <w:sz w:val="20"/>
        </w:rPr>
        <w:t xml:space="preserve">January 2021 </w:t>
      </w:r>
      <w:r>
        <w:rPr>
          <w:rFonts w:ascii="Times New Roman" w:hAnsi="Times New Roman"/>
          <w:caps w:val="false"/>
          <w:smallCaps w:val="false"/>
          <w:sz w:val="20"/>
        </w:rPr>
        <w:t xml:space="preserve">underwritten public offering (the "Public Offering") and remaining unexercised as of the date of the amendment, which was declared effective on </w:t>
      </w:r>
      <w:r>
        <w:rPr>
          <w:rStyle w:val="Emphasis"/>
          <w:rFonts w:ascii="Times New Roman" w:hAnsi="Times New Roman"/>
          <w:caps w:val="false"/>
          <w:smallCaps w:val="false"/>
          <w:sz w:val="20"/>
        </w:rPr>
        <w:t>February 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1, 2023, </w:t>
      </w:r>
      <w:r>
        <w:rPr>
          <w:rFonts w:ascii="Times New Roman" w:hAnsi="Times New Roman"/>
          <w:caps w:val="false"/>
          <w:smallCaps w:val="false"/>
          <w:sz w:val="20"/>
        </w:rPr>
        <w:t>following its name change, the Company's common stock began trading on the Nasdaq Global Select Market under the ticker symbol "ZVRA".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i/>
          <w:caps w:val="false"/>
          <w:smallCaps w:val="false"/>
          <w:sz w:val="20"/>
        </w:rPr>
        <w:t>Entry into</w:t>
      </w:r>
      <w:r>
        <w:rPr>
          <w:rFonts w:ascii="Times New Roman" w:hAnsi="Times New Roman"/>
          <w:caps w:val="false"/>
          <w:smallCaps w:val="false"/>
          <w:sz w:val="20"/>
        </w:rPr>
        <w:t> </w:t>
      </w:r>
      <w:r>
        <w:rPr>
          <w:rStyle w:val="Emphasis"/>
          <w:rFonts w:ascii="Times New Roman" w:hAnsi="Times New Roman"/>
          <w:b/>
          <w:i/>
          <w:caps w:val="false"/>
          <w:smallCaps w:val="false"/>
          <w:sz w:val="20"/>
        </w:rPr>
        <w:t>2021</w:t>
      </w:r>
      <w:r>
        <w:rPr>
          <w:rFonts w:ascii="Times New Roman" w:hAnsi="Times New Roman"/>
          <w:caps w:val="false"/>
          <w:smallCaps w:val="false"/>
          <w:sz w:val="20"/>
        </w:rPr>
        <w:t> </w:t>
      </w:r>
      <w:r>
        <w:rPr>
          <w:rFonts w:ascii="Times New Roman" w:hAnsi="Times New Roman"/>
          <w:b/>
          <w:i/>
          <w:caps w:val="false"/>
          <w:smallCaps w:val="false"/>
          <w:sz w:val="20"/>
        </w:rPr>
        <w:t>ATM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July 2,</w:t>
      </w:r>
      <w:r>
        <w:rPr>
          <w:rFonts w:ascii="Times New Roman" w:hAnsi="Times New Roman"/>
          <w:caps w:val="false"/>
          <w:smallCaps w:val="false"/>
          <w:sz w:val="20"/>
        </w:rPr>
        <w:t> </w:t>
      </w:r>
      <w:r>
        <w:rPr>
          <w:rStyle w:val="Emphasis"/>
          <w:rFonts w:ascii="Times New Roman" w:hAnsi="Times New Roman"/>
          <w:caps w:val="false"/>
          <w:smallCaps w:val="false"/>
          <w:sz w:val="20"/>
        </w:rPr>
        <w:t>2021,</w:t>
      </w:r>
      <w:r>
        <w:rPr>
          <w:rFonts w:ascii="Times New Roman" w:hAnsi="Times New Roman"/>
          <w:caps w:val="false"/>
          <w:smallCaps w:val="false"/>
          <w:sz w:val="20"/>
        </w:rPr>
        <w:t> the Company entered into an equity distribution agreement (the </w:t>
      </w:r>
      <w:r>
        <w:rPr>
          <w:rStyle w:val="Emphasis"/>
          <w:rFonts w:ascii="Times New Roman" w:hAnsi="Times New Roman"/>
          <w:caps w:val="false"/>
          <w:smallCaps w:val="false"/>
          <w:sz w:val="20"/>
        </w:rPr>
        <w:t>"2021</w:t>
      </w:r>
      <w:r>
        <w:rPr>
          <w:rFonts w:ascii="Times New Roman" w:hAnsi="Times New Roman"/>
          <w:caps w:val="false"/>
          <w:smallCaps w:val="false"/>
          <w:sz w:val="20"/>
        </w:rPr>
        <w:t> ATM Agreement") with JMP Securities LLC ("JMP") and RBC Capital Markets, LLC ("RBCCM") under which the Company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offer and sell, from time to time at its sole discretion, shares of its common stock having an aggregate offering price of up to $75.0 million through JMP and RBCCM as its sales agents. The issuance and sale, if any, of common stock by the Company under the </w:t>
      </w:r>
      <w:r>
        <w:rPr>
          <w:rStyle w:val="Emphasis"/>
          <w:rFonts w:ascii="Times New Roman" w:hAnsi="Times New Roman"/>
          <w:caps w:val="false"/>
          <w:smallCaps w:val="false"/>
          <w:sz w:val="20"/>
        </w:rPr>
        <w:t>2021</w:t>
      </w:r>
      <w:r>
        <w:rPr>
          <w:rFonts w:ascii="Times New Roman" w:hAnsi="Times New Roman"/>
          <w:caps w:val="false"/>
          <w:smallCaps w:val="false"/>
          <w:sz w:val="20"/>
        </w:rPr>
        <w:t> ATM Agreement will be made pursuant to a registration statement on Form S-</w:t>
      </w:r>
      <w:r>
        <w:rPr>
          <w:rStyle w:val="Emphasis"/>
          <w:rFonts w:ascii="Times New Roman" w:hAnsi="Times New Roman"/>
          <w:caps w:val="false"/>
          <w:smallCaps w:val="false"/>
          <w:sz w:val="20"/>
        </w:rPr>
        <w:t>3.</w:t>
      </w:r>
      <w:r>
        <w:rPr>
          <w:rFonts w:ascii="Times New Roman" w:hAnsi="Times New Roman"/>
          <w:caps w:val="false"/>
          <w:smallCaps w:val="false"/>
          <w:sz w:val="20"/>
        </w:rPr>
        <w:t> JMP and RBCCM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sell the common stock by any method permitted by law deemed to be an “at the market offering” as defined in Rule </w:t>
      </w:r>
      <w:r>
        <w:rPr>
          <w:rStyle w:val="Emphasis"/>
          <w:rFonts w:ascii="Times New Roman" w:hAnsi="Times New Roman"/>
          <w:caps w:val="false"/>
          <w:smallCaps w:val="false"/>
          <w:sz w:val="20"/>
        </w:rPr>
        <w:t>415</w:t>
      </w:r>
      <w:r>
        <w:rPr>
          <w:rFonts w:ascii="Times New Roman" w:hAnsi="Times New Roman"/>
          <w:caps w:val="false"/>
          <w:smallCaps w:val="false"/>
          <w:sz w:val="20"/>
        </w:rPr>
        <w:t> of the Securities Act of </w:t>
      </w:r>
      <w:r>
        <w:rPr>
          <w:rStyle w:val="Emphasis"/>
          <w:rFonts w:ascii="Times New Roman" w:hAnsi="Times New Roman"/>
          <w:caps w:val="false"/>
          <w:smallCaps w:val="false"/>
          <w:sz w:val="20"/>
        </w:rPr>
        <w:t>1933,</w:t>
      </w:r>
      <w:r>
        <w:rPr>
          <w:rFonts w:ascii="Times New Roman" w:hAnsi="Times New Roman"/>
          <w:caps w:val="false"/>
          <w:smallCaps w:val="false"/>
          <w:sz w:val="20"/>
        </w:rPr>
        <w:t> as amended. JMP and RBCCM will use commercially reasonable efforts to sell the common stock from time to time, based upon instructions from the Company (including any price, time or size limits or other customary parameters or conditions the Company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impose). The Company will pay JMP and RBCCM a commission equal to 3.0% in the aggregate of the gross sales proceeds of any common stock sold through JMP and RBCCM under the </w:t>
      </w:r>
      <w:r>
        <w:rPr>
          <w:rStyle w:val="Emphasis"/>
          <w:rFonts w:ascii="Times New Roman" w:hAnsi="Times New Roman"/>
          <w:caps w:val="false"/>
          <w:smallCaps w:val="false"/>
          <w:sz w:val="20"/>
        </w:rPr>
        <w:t>2021</w:t>
      </w:r>
      <w:r>
        <w:rPr>
          <w:rFonts w:ascii="Times New Roman" w:hAnsi="Times New Roman"/>
          <w:caps w:val="false"/>
          <w:smallCaps w:val="false"/>
          <w:sz w:val="20"/>
        </w:rPr>
        <w:t> ATM Agreement. The Company filed a registration statement on Form S-</w:t>
      </w:r>
      <w:r>
        <w:rPr>
          <w:rStyle w:val="Emphasis"/>
          <w:rFonts w:ascii="Times New Roman" w:hAnsi="Times New Roman"/>
          <w:caps w:val="false"/>
          <w:smallCaps w:val="false"/>
          <w:sz w:val="20"/>
        </w:rPr>
        <w:t>3</w:t>
      </w:r>
      <w:r>
        <w:rPr>
          <w:rFonts w:ascii="Times New Roman" w:hAnsi="Times New Roman"/>
          <w:caps w:val="false"/>
          <w:smallCaps w:val="false"/>
          <w:sz w:val="20"/>
        </w:rPr>
        <w:t> covering the sale of the shares of its common stock up to $350.0 million, $75.0 million of which was allocated to the sales of the shares of common stock issuable under the </w:t>
      </w:r>
      <w:r>
        <w:rPr>
          <w:rStyle w:val="Emphasis"/>
          <w:rFonts w:ascii="Times New Roman" w:hAnsi="Times New Roman"/>
          <w:caps w:val="false"/>
          <w:smallCaps w:val="false"/>
          <w:sz w:val="20"/>
        </w:rPr>
        <w:t>2021</w:t>
      </w:r>
      <w:r>
        <w:rPr>
          <w:rFonts w:ascii="Times New Roman" w:hAnsi="Times New Roman"/>
          <w:caps w:val="false"/>
          <w:smallCaps w:val="false"/>
          <w:sz w:val="20"/>
        </w:rPr>
        <w:t> ATM Agreement, which was declared effective on </w:t>
      </w:r>
      <w:r>
        <w:rPr>
          <w:rStyle w:val="Emphasis"/>
          <w:rFonts w:ascii="Times New Roman" w:hAnsi="Times New Roman"/>
          <w:caps w:val="false"/>
          <w:smallCaps w:val="false"/>
          <w:sz w:val="20"/>
        </w:rPr>
        <w:t xml:space="preserve"> July 12, 2021. </w:t>
      </w: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March 31, 2023, </w:t>
      </w:r>
      <w:r>
        <w:rPr>
          <w:rFonts w:ascii="Times New Roman" w:hAnsi="Times New Roman"/>
          <w:caps w:val="false"/>
          <w:smallCaps w:val="false"/>
          <w:sz w:val="20"/>
        </w:rPr>
        <w:t>no shares have been issued or sold under the </w:t>
      </w:r>
      <w:r>
        <w:rPr>
          <w:rStyle w:val="Emphasis"/>
          <w:rFonts w:ascii="Times New Roman" w:hAnsi="Times New Roman"/>
          <w:caps w:val="false"/>
          <w:smallCaps w:val="false"/>
          <w:sz w:val="20"/>
        </w:rPr>
        <w:t>2021</w:t>
      </w:r>
      <w:r>
        <w:rPr>
          <w:rFonts w:ascii="Times New Roman" w:hAnsi="Times New Roman"/>
          <w:caps w:val="false"/>
          <w:smallCaps w:val="false"/>
          <w:sz w:val="20"/>
        </w:rPr>
        <w:t> ATM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Share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20, 2021, </w:t>
      </w:r>
      <w:r>
        <w:rPr>
          <w:rFonts w:ascii="Times New Roman" w:hAnsi="Times New Roman"/>
          <w:caps w:val="false"/>
          <w:smallCaps w:val="false"/>
          <w:sz w:val="20"/>
        </w:rPr>
        <w:t xml:space="preserve">the Company initiated a share repurchase program (the "Share Repurchase Program") pursuant to which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repurchase up to $50 million of shares of its common stock through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Capital allocation to the Share Repurchase Program will be based on a variety of factors, including the Company's business results, the receipt of royalties and sales milestones under the AZSTARYS License Agreement (refer to Note B), and potentially other sources of non-dilutive capital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become available to the Company. Repurchases will be made in compliance with Rule </w:t>
      </w:r>
      <w:r>
        <w:rPr>
          <w:rStyle w:val="Emphasis"/>
          <w:rFonts w:ascii="Times New Roman" w:hAnsi="Times New Roman"/>
          <w:caps w:val="false"/>
          <w:smallCaps w:val="false"/>
          <w:sz w:val="20"/>
        </w:rPr>
        <w:t>10b</w:t>
      </w:r>
      <w:r>
        <w:rPr>
          <w:rFonts w:ascii="Times New Roman" w:hAnsi="Times New Roman"/>
          <w:caps w:val="false"/>
          <w:smallCaps w:val="false"/>
          <w:sz w:val="20"/>
        </w:rPr>
        <w:t>-</w:t>
      </w:r>
      <w:r>
        <w:rPr>
          <w:rStyle w:val="Emphasis"/>
          <w:rFonts w:ascii="Times New Roman" w:hAnsi="Times New Roman"/>
          <w:caps w:val="false"/>
          <w:smallCaps w:val="false"/>
          <w:sz w:val="20"/>
        </w:rPr>
        <w:t>18</w:t>
      </w:r>
      <w:r>
        <w:rPr>
          <w:rFonts w:ascii="Times New Roman" w:hAnsi="Times New Roman"/>
          <w:caps w:val="false"/>
          <w:smallCaps w:val="false"/>
          <w:sz w:val="20"/>
        </w:rPr>
        <w:t xml:space="preserve"> of the Securities Exchange Act of </w:t>
      </w:r>
      <w:r>
        <w:rPr>
          <w:rStyle w:val="Emphasis"/>
          <w:rFonts w:ascii="Times New Roman" w:hAnsi="Times New Roman"/>
          <w:caps w:val="false"/>
          <w:smallCaps w:val="false"/>
          <w:sz w:val="20"/>
        </w:rPr>
        <w:t>1934,</w:t>
      </w:r>
      <w:r>
        <w:rPr>
          <w:rFonts w:ascii="Times New Roman" w:hAnsi="Times New Roman"/>
          <w:caps w:val="false"/>
          <w:smallCaps w:val="false"/>
          <w:sz w:val="20"/>
        </w:rPr>
        <w:t xml:space="preserve"> as amended, subject to a variety of factors, including the market price of the Company’s common stock, general market and economic conditions and applicable legal requirements. The exact number of shares to be repurchased by the Company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guaranteed and the program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suspended, modified, or discontinued at any time without prior notice. As of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the Company had repurchased 1,575,692 shares of its common stock for approximately $11.0 million under the Share Repurchase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Reclassifications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Certain reclassifications were made to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unaudited condensed consolidated financial statements to conform to the classifications used in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These reclassifications had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impact on the consolidated net loss, changes in stockholder's equity, or cash flows previously reported.</w:t>
      </w:r>
    </w:p>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4705" w:type="dxa"/>
        <w:jc w:val="left"/>
        <w:tblInd w:w="0" w:type="dxa"/>
        <w:tblLayout w:type="fixed"/>
        <w:tblCellMar>
          <w:top w:w="0" w:type="dxa"/>
          <w:left w:w="0" w:type="dxa"/>
          <w:bottom w:w="0" w:type="dxa"/>
          <w:right w:w="0" w:type="dxa"/>
        </w:tblCellMar>
      </w:tblPr>
      <w:tblGrid>
        <w:gridCol w:w="245"/>
        <w:gridCol w:w="4460"/>
      </w:tblGrid>
      <w:tr>
        <w:trPr/>
        <w:tc>
          <w:tcPr>
            <w:tcW w:w="245" w:type="dxa"/>
            <w:tcBorders/>
            <w:vAlign w:val="center"/>
          </w:tcPr>
          <w:p>
            <w:pPr>
              <w:pStyle w:val="TableContents"/>
              <w:bidi w:val="0"/>
              <w:spacing w:before="0" w:after="283"/>
              <w:jc w:val="left"/>
              <w:rPr>
                <w:b/>
              </w:rPr>
            </w:pPr>
            <w:r>
              <w:rPr>
                <w:b/>
              </w:rPr>
              <w:t>B.</w:t>
            </w:r>
          </w:p>
        </w:tc>
        <w:tc>
          <w:tcPr>
            <w:tcW w:w="4460" w:type="dxa"/>
            <w:tcBorders/>
            <w:vAlign w:val="center"/>
          </w:tcPr>
          <w:p>
            <w:pPr>
              <w:pStyle w:val="TableContents"/>
              <w:bidi w:val="0"/>
              <w:spacing w:before="0" w:after="283"/>
              <w:jc w:val="left"/>
              <w:rPr>
                <w:b/>
              </w:rPr>
            </w:pPr>
            <w:r>
              <w:rPr>
                <w:b/>
              </w:rPr>
              <w:t>Summary of Significant Accounting Policies</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preparation of financial statements in conformity with U.S. GAAP requires the Company to make estimates and assumptions that affect the amounts reported in the consolidated financial statements and accompanying notes. Actual results could differ from those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an ongoing basis, the Company evaluates its estimates and assumptions, including those related to revenue recognition, the useful lives of property and equipment, the recoverability of long-lived assets, the incremental borrowing rate for leases, and assumptions used for purposes of determining stock-based compensation, income taxes, the fair value of investments and the fair value of the derivative and warrant liability and discount and rebate liabilities, among others. The Company bases its estimates on historical experience and on various other assumptions that it believes to be reasonable, the results of which form the basis for making judgments about the carrying value of assets and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Investments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maintains investment securities that are classified as available-for-sale securities for which the Company has elected the fair value option under ASC </w:t>
      </w:r>
      <w:r>
        <w:rPr>
          <w:rStyle w:val="Emphasis"/>
          <w:rFonts w:ascii="Times New Roman" w:hAnsi="Times New Roman"/>
          <w:caps w:val="false"/>
          <w:smallCaps w:val="false"/>
          <w:sz w:val="20"/>
        </w:rPr>
        <w:t>825,</w:t>
      </w:r>
      <w:r>
        <w:rPr>
          <w:rFonts w:ascii="Times New Roman" w:hAnsi="Times New Roman"/>
          <w:caps w:val="false"/>
          <w:smallCaps w:val="false"/>
          <w:sz w:val="20"/>
        </w:rPr>
        <w:t xml:space="preserve"> </w:t>
      </w:r>
      <w:r>
        <w:rPr>
          <w:rFonts w:ascii="Times New Roman" w:hAnsi="Times New Roman"/>
          <w:i/>
          <w:caps w:val="false"/>
          <w:smallCaps w:val="false"/>
          <w:sz w:val="20"/>
        </w:rPr>
        <w:t>Financial Instruments</w:t>
      </w:r>
      <w:r>
        <w:rPr>
          <w:rFonts w:ascii="Times New Roman" w:hAnsi="Times New Roman"/>
          <w:caps w:val="false"/>
          <w:smallCaps w:val="false"/>
          <w:sz w:val="20"/>
        </w:rPr>
        <w:t xml:space="preserve">. As such, these securities are carried at fair value with unrealized gains and losses included in fair value adjustment related to investments on the unaudited condensed consolidated statements of operations. The securities primarily consist of U.S. Treasury securities and U.S. government-sponsored agency securities and are included in securities at fair value in the unaudited condensed consolidated balance sheets. As of </w:t>
      </w:r>
      <w:r>
        <w:rPr>
          <w:rStyle w:val="Emphasis"/>
          <w:rFonts w:ascii="Times New Roman" w:hAnsi="Times New Roman"/>
          <w:caps w:val="false"/>
          <w:smallCaps w:val="false"/>
          <w:sz w:val="20"/>
        </w:rPr>
        <w:t>March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the Company held securities with an aggregate fair value of $34.4 million and $16.9 million, respectively, that contained aggregate unrealized losses of approximately $0.4 million and $0.6 million, respectively. Applying fair value accounting to these debt securities more accurately represents the Company's investment strategy due to the fact that excess cash is currently being invested for the purpose of funding future operations. In addition, the Company holds certificates of deposit totaling $20.7 million as of </w:t>
      </w:r>
      <w:r>
        <w:rPr>
          <w:rStyle w:val="Emphasis"/>
          <w:rFonts w:ascii="Times New Roman" w:hAnsi="Times New Roman"/>
          <w:caps w:val="false"/>
          <w:smallCaps w:val="false"/>
          <w:sz w:val="20"/>
        </w:rPr>
        <w:t>March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2022, </w:t>
      </w:r>
      <w:r>
        <w:rPr>
          <w:rFonts w:ascii="Times New Roman" w:hAnsi="Times New Roman"/>
          <w:caps w:val="false"/>
          <w:smallCaps w:val="false"/>
          <w:sz w:val="20"/>
        </w:rPr>
        <w:t>and are included in short-term investments - other in the unaudited condensed consolidated balance sheets. Interest income is recognized as earned using an effective yield method giving effect to the amortization of premium and accretion of discount and is based on the economic life of the securities. Interest income is included in Interest and other income, net in the unaudited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Revenue Recognition</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recognizes revenue in accordance with the provisions of ASC </w:t>
      </w:r>
      <w:r>
        <w:rPr>
          <w:rStyle w:val="Emphasis"/>
          <w:rFonts w:ascii="Times New Roman" w:hAnsi="Times New Roman"/>
          <w:caps w:val="false"/>
          <w:smallCaps w:val="false"/>
          <w:sz w:val="20"/>
        </w:rPr>
        <w:t>606,</w:t>
      </w:r>
      <w:r>
        <w:rPr>
          <w:rFonts w:ascii="Times New Roman" w:hAnsi="Times New Roman"/>
          <w:caps w:val="false"/>
          <w:smallCaps w:val="false"/>
          <w:sz w:val="20"/>
        </w:rPr>
        <w:t> </w:t>
      </w:r>
      <w:r>
        <w:rPr>
          <w:rFonts w:ascii="Times New Roman" w:hAnsi="Times New Roman"/>
          <w:i/>
          <w:caps w:val="false"/>
          <w:smallCaps w:val="false"/>
          <w:sz w:val="20"/>
        </w:rPr>
        <w:t>Revenue from Contracts with Customers</w:t>
      </w:r>
      <w:r>
        <w:rPr>
          <w:rFonts w:ascii="Times New Roman" w:hAnsi="Times New Roman"/>
          <w:caps w:val="false"/>
          <w:smallCaps w:val="false"/>
          <w:sz w:val="20"/>
        </w:rPr>
        <w:t xml:space="preserve">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and, as a result, follows the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-step model when recognizing revenue: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identifying a contract;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identifying the performance obligations;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determining the transaction price; </w:t>
      </w:r>
      <w:r>
        <w:rPr>
          <w:rStyle w:val="Emphasis"/>
          <w:rFonts w:ascii="Times New Roman" w:hAnsi="Times New Roman"/>
          <w:caps w:val="false"/>
          <w:smallCaps w:val="false"/>
          <w:sz w:val="20"/>
        </w:rPr>
        <w:t>4</w:t>
      </w:r>
      <w:r>
        <w:rPr>
          <w:rFonts w:ascii="Times New Roman" w:hAnsi="Times New Roman"/>
          <w:caps w:val="false"/>
          <w:smallCaps w:val="false"/>
          <w:sz w:val="20"/>
        </w:rPr>
        <w:t xml:space="preserve">) allocating the price to performance obligations; and </w:t>
      </w:r>
      <w:r>
        <w:rPr>
          <w:rStyle w:val="Emphasis"/>
          <w:rFonts w:ascii="Times New Roman" w:hAnsi="Times New Roman"/>
          <w:caps w:val="false"/>
          <w:smallCaps w:val="false"/>
          <w:sz w:val="20"/>
        </w:rPr>
        <w:t>5</w:t>
      </w:r>
      <w:r>
        <w:rPr>
          <w:rFonts w:ascii="Times New Roman" w:hAnsi="Times New Roman"/>
          <w:caps w:val="false"/>
          <w:smallCaps w:val="false"/>
          <w:sz w:val="20"/>
        </w:rPr>
        <w:t>) recognizing revenue when the performance obligations have been fulfilled.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Arimoclomol Early Access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Net revenue includes revenue from the sale of arimoclomol for the treatment of NPC under the remunerated early access compassionate use program in France (“French nATU”). An early access compassionate use program is a program giving specific patients access to a drug, which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approved for commercial sale. Only drugs targeting serious or rare indications and for which there is currently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appropriate treatment are considered for early access compassionate use programs. Further, to be considered for the early access compassionate use program, the drug must have proven efficacy and safety and must either be undergoing price negotiations or seeking marketing approval. In accordance with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the Company recognizes revenue when fulfilling its performance obligation under the Arimoclomol Early Access Program ("Arimoclomol EAP") by transferring control of promised goods or services to its customer, in an amount that reflects the consideration that the Company expects to receive in exchange for those goods or services. In determining when the customer obtains control of the product, the Company considers certain indicators, including whether the Company has a present right to payment from the customer, whether title and/or significant risks and rewards of ownership have transferred to the customer and whether the customer acceptance has been received. Revenue is recognized net of sales deductions, including discounts, rebates, applicable distributor fees, and revenue-based taxes. Under the French nATU, the manufacturer can set its own price for the drug products until a price agreement with the authorities is in place. Any excess in the price charged the manufacturer compared to the price agreed with the health authorities once the drug product is approved in France must be repaid. The repayment is considered in the clawback liability (rebate). An estimate of net revenue and clawback liability are recognized using the ‘expected value’ method. Accounting for net revenue and clawback liability requires determination of the most appropriate method for the expected final transaction price, which depends on the terms and conditions in the contracts with the French Health Authorities and is subject to price negotiations with the French Health Authorities, following marketing approval. This estimate also requires assumptions with respect to inputs into the method, including current pricing of comparable marketed products within the rare disease area in France. Management has considered the expected final sales price as well as the price of similar drug products. The Company is operating within a rare disease therapeutic area where there is unmet treatment need and hence a limited number of comparable commercialized drugs products. The limited available relevant market information for directly comparable commercialized drugs within rare disease increases the uncertainty in management's estimate.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the Company recognized revenue related to the Arimoclomol EAP in France of $2.0</w:t>
      </w:r>
      <w:r>
        <w:rPr>
          <w:rFonts w:ascii="Times New Roman" w:hAnsi="Times New Roman"/>
          <w:caps w:val="false"/>
          <w:smallCaps w:val="false"/>
          <w:sz w:val="20"/>
          <w:shd w:fill="FFFFFF" w:val="clear"/>
        </w:rPr>
        <w:t> </w:t>
      </w:r>
      <w:r>
        <w:rPr>
          <w:rFonts w:ascii="Times New Roman" w:hAnsi="Times New Roman"/>
          <w:caps w:val="false"/>
          <w:smallCaps w:val="false"/>
          <w:sz w:val="20"/>
        </w:rPr>
        <w:t xml:space="preserve">million, which is net of a clawback liability of $1.3 million and other gross to net adjustments. As part of the Arimoclomol Purchase Agreement the Company assumed an estimated reserve liability of $5.2 million related to revenue generated from the Arimoclomol EAP in France. The total estimate reserve liability as of </w:t>
      </w:r>
      <w:r>
        <w:rPr>
          <w:rStyle w:val="Emphasis"/>
          <w:rFonts w:ascii="Times New Roman" w:hAnsi="Times New Roman"/>
          <w:caps w:val="false"/>
          <w:smallCaps w:val="false"/>
          <w:sz w:val="20"/>
        </w:rPr>
        <w:t>March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including the additional clawback liability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was $10.5</w:t>
      </w:r>
      <w:r>
        <w:rPr>
          <w:rFonts w:ascii="Times New Roman" w:hAnsi="Times New Roman"/>
          <w:caps w:val="false"/>
          <w:smallCaps w:val="false"/>
          <w:sz w:val="20"/>
          <w:shd w:fill="FFFFFF" w:val="clear"/>
        </w:rPr>
        <w:t> </w:t>
      </w:r>
      <w:r>
        <w:rPr>
          <w:rFonts w:ascii="Times New Roman" w:hAnsi="Times New Roman"/>
          <w:caps w:val="false"/>
          <w:smallCaps w:val="false"/>
          <w:sz w:val="20"/>
        </w:rPr>
        <w:t xml:space="preserve">million. The total reserve liability as of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was $9.0 million. As of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this estimated reserve liability is recorded as discount and rebate liabilities in the unaudited condensed consolidated balance sheets and is separated into current and long-term based upon the timing of the expected payment to the French regulators.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Licensing Agreements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enters into licensing agreements with licensees that fall under the scope of ASC </w:t>
      </w:r>
      <w:r>
        <w:rPr>
          <w:rStyle w:val="Emphasis"/>
          <w:rFonts w:ascii="Times New Roman" w:hAnsi="Times New Roman"/>
          <w:caps w:val="false"/>
          <w:smallCaps w:val="false"/>
          <w:sz w:val="20"/>
        </w:rPr>
        <w:t>606.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terms of the Company’s licensing agreements typically include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of the following: (i) upfront fees; (ii) milestone payments related to the achievement of development, regulatory, or commercial goals; and (iii) royalties on net sales of licensed products. Each of these payments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result in licensing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part of the accounting for these agreements, the Company must develop estimates and assumptions that require judgment to determine the underlying stand-alone selling price for each performance obligation which determines how the transaction price is allocated among the performance obligations. Generally, the estimation of the stand-alone selling price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include such estimates as, independent evidence of market price, forecasted revenues or costs, development timelines, discount rates, and probability of regulatory success. The Company evaluates each performance obligation to determine if they can be satisfied at a point in time or over time, and it measures the services delivered to the licensee which are periodically reviewed based on the progress of the related program. The effect of any change made to an estimated input component and, therefore revenue or expense recognized, would be recorded as a change in estimate. In addition, variable consideration (e.g., milestone payments) must be evaluated to determine if it is constrained and, therefore, excluded from the transaction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Up-front</w:t>
      </w:r>
      <w:r>
        <w:rPr>
          <w:rFonts w:ascii="Times New Roman" w:hAnsi="Times New Roman"/>
          <w:caps w:val="false"/>
          <w:smallCaps w:val="false"/>
          <w:sz w:val="20"/>
        </w:rPr>
        <w:t> </w:t>
      </w:r>
      <w:r>
        <w:rPr>
          <w:rFonts w:ascii="Times New Roman" w:hAnsi="Times New Roman"/>
          <w:i/>
          <w:caps w:val="false"/>
          <w:smallCaps w:val="false"/>
          <w:sz w:val="20"/>
        </w:rPr>
        <w:t>Fees:</w:t>
      </w:r>
      <w:r>
        <w:rPr>
          <w:rFonts w:ascii="Times New Roman" w:hAnsi="Times New Roman"/>
          <w:caps w:val="false"/>
          <w:smallCaps w:val="false"/>
          <w:sz w:val="20"/>
        </w:rPr>
        <w:t> If a license to the Company’s intellectual property is determined to be distinct from the other performance obligations identified in the arrangement, the Company recognizes revenues from the transaction price allocated to the license when the license is transferred to the licensee and the licensee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i/>
          <w:caps w:val="false"/>
          <w:smallCaps w:val="false"/>
          <w:sz w:val="20"/>
        </w:rPr>
        <w:t>Milestone Payments:</w:t>
      </w:r>
      <w:r>
        <w:rPr>
          <w:rFonts w:ascii="Times New Roman" w:hAnsi="Times New Roman"/>
          <w:caps w:val="false"/>
          <w:smallCaps w:val="false"/>
          <w:sz w:val="20"/>
        </w:rPr>
        <w:t xml:space="preserve"> At the inception of each arrangement that includes milestone payments (variable consideration), the Company evaluates whether the milestones are considered probable of being reached and estimates the amount to be included in the transaction price using the most likely amount method. If it is probable that a significant revenue reversal would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occur, the associated milestone value is included in the transaction price. Milestone payments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within the Company’s or the licensee’s control, such as non-operational developmental and regulatory approvals, are generally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considered probable of being achieved until those approvals are received. At the end of each reporting period, the Company re-evaluates the probability of achievement of milestones that are within its or the licensee’s control, such as operational developmental milestones and any related constraint, and if necessary, adjusts its estimate of the overall transaction price. Any such adjustments are recorded on a cumulative catch-up basis, which would affect collaboration revenues and earnings in the period of adjustment. Revisions to the Company’s estimate of the transaction price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also result in negative licensing revenues and earnings in the period of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AZSTARYS License Agreement</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September 2019, </w:t>
      </w:r>
      <w:r>
        <w:rPr>
          <w:rFonts w:ascii="Times New Roman" w:hAnsi="Times New Roman"/>
          <w:caps w:val="false"/>
          <w:smallCaps w:val="false"/>
          <w:sz w:val="20"/>
        </w:rPr>
        <w:t>the Company entered into a Collaboration and License Agreement (the “AZSTARYS License Agreement”) with Commave Therapeutics SA ("Commave"), an affiliate of Gurnet Point Capital ("GPC"). Under the AZSTARYS License Agreement, the Company granted to Commave an exclusive, worldwide license to develop, manufacture and commercialize the Company’s product candidates containing SDX and d-MPH, including AZSTARYS, or any other product candidates containing SDX and developed to treat ADHD or any other central nervous system ("CNS") disease. Corium, Inc. ("Corium") was tasked by Commave, to lead all commercialization activities for AZSTARYS under the AZSTARYS License Agreement. Pursuant to the AZSTARYS License Agreement, Commave agreed to pay milestone payments upon the occurrence of specified regulatory milestones related to AZSTARYS, additional fixed payments upon the achievement of specified U.S. sales milestones, and quarterly, tiered royalty payments based on a range of percentages of net sales. Commave is obligated to make such royalty payments on a product-by-product basis until expiration of the royalty term for the applicable product.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April 2021, </w:t>
      </w:r>
      <w:r>
        <w:rPr>
          <w:rFonts w:ascii="Times New Roman" w:hAnsi="Times New Roman"/>
          <w:caps w:val="false"/>
          <w:smallCaps w:val="false"/>
          <w:sz w:val="20"/>
        </w:rPr>
        <w:t>the Company entered into Amendment </w:t>
      </w:r>
      <w:r>
        <w:rPr>
          <w:rStyle w:val="Emphasis"/>
          <w:rFonts w:ascii="Times New Roman" w:hAnsi="Times New Roman"/>
          <w:caps w:val="false"/>
          <w:smallCaps w:val="false"/>
          <w:sz w:val="20"/>
        </w:rPr>
        <w:t>No.</w:t>
      </w:r>
      <w:r>
        <w:rPr>
          <w:rFonts w:ascii="Times New Roman" w:hAnsi="Times New Roman"/>
          <w:caps w:val="false"/>
          <w:smallCaps w:val="false"/>
          <w:sz w:val="20"/>
        </w:rPr>
        <w:t> </w:t>
      </w:r>
      <w:r>
        <w:rPr>
          <w:rStyle w:val="Emphasis"/>
          <w:rFonts w:ascii="Times New Roman" w:hAnsi="Times New Roman"/>
          <w:caps w:val="false"/>
          <w:smallCaps w:val="false"/>
          <w:sz w:val="20"/>
        </w:rPr>
        <w:t>1</w:t>
      </w:r>
      <w:r>
        <w:rPr>
          <w:rFonts w:ascii="Times New Roman" w:hAnsi="Times New Roman"/>
          <w:caps w:val="false"/>
          <w:smallCaps w:val="false"/>
          <w:sz w:val="20"/>
        </w:rPr>
        <w:t> to the AZSTARYS License Agreement (the "AZSTARYS Amendment"). Pursuant to the AZSTARYS Amendment, the Company and Commave agreed to modify the compensation terms of the AZSTARYS License Agreement. The AZSTARYS Amendment increased the total remaining future regulatory and sales milestone payments related to AZSTARYS to up to an aggregate of $590.0 million in payments upon the occurrence of specified regulatory milestones related to AZSTARYS and upon the achievement of specified U.S. net sales milestones.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Commave also agreed to be responsible for and reimburse the Company for all of the development, commercialization and regulatory expenses incurred on the licensed products, subject to certain limitations as set forth in the AZSTARYS License Agreement. As part of this agreement, the Company is obligated to perform consulting services on behalf of Commave related to the licensed products. For these consulting services, Commave has agreed to pay the Company a set rate per hour on any consulting services performed on behalf of Commave for the benefit of the licensed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In accordance with the terms of the Company’s </w:t>
      </w:r>
      <w:r>
        <w:rPr>
          <w:rStyle w:val="Emphasis"/>
          <w:rFonts w:ascii="Times New Roman" w:hAnsi="Times New Roman"/>
          <w:caps w:val="false"/>
          <w:smallCaps w:val="false"/>
          <w:sz w:val="20"/>
        </w:rPr>
        <w:t xml:space="preserve"> March 20,</w:t>
      </w:r>
      <w:r>
        <w:rPr>
          <w:rFonts w:ascii="Times New Roman" w:hAnsi="Times New Roman"/>
          <w:caps w:val="false"/>
          <w:smallCaps w:val="false"/>
          <w:sz w:val="20"/>
        </w:rPr>
        <w:t> </w:t>
      </w:r>
      <w:r>
        <w:rPr>
          <w:rStyle w:val="Emphasis"/>
          <w:rFonts w:ascii="Times New Roman" w:hAnsi="Times New Roman"/>
          <w:caps w:val="false"/>
          <w:smallCaps w:val="false"/>
          <w:sz w:val="20"/>
        </w:rPr>
        <w:t>2012</w:t>
      </w:r>
      <w:r>
        <w:rPr>
          <w:rFonts w:ascii="Times New Roman" w:hAnsi="Times New Roman"/>
          <w:caps w:val="false"/>
          <w:smallCaps w:val="false"/>
          <w:sz w:val="20"/>
        </w:rPr>
        <w:t xml:space="preserve"> Termination Agreement with Aquestive Therapeutics, Aquestive Therapeutics has the right to receive an amount equal to 10% of any royalty or milestone payments made to the Company related to AZSTARYS, </w:t>
      </w:r>
      <w:r>
        <w:rPr>
          <w:rStyle w:val="Emphasis"/>
          <w:rFonts w:ascii="Times New Roman" w:hAnsi="Times New Roman"/>
          <w:caps w:val="false"/>
          <w:smallCaps w:val="false"/>
          <w:sz w:val="20"/>
        </w:rPr>
        <w:t>KP879</w:t>
      </w:r>
      <w:r>
        <w:rPr>
          <w:rFonts w:ascii="Times New Roman" w:hAnsi="Times New Roman"/>
          <w:caps w:val="false"/>
          <w:smallCaps w:val="false"/>
          <w:sz w:val="20"/>
        </w:rPr>
        <w:t> or </w:t>
      </w:r>
      <w:r>
        <w:rPr>
          <w:rStyle w:val="Emphasis"/>
          <w:rFonts w:ascii="Times New Roman" w:hAnsi="Times New Roman"/>
          <w:caps w:val="false"/>
          <w:smallCaps w:val="false"/>
          <w:sz w:val="20"/>
        </w:rPr>
        <w:t>KP1077</w:t>
      </w:r>
      <w:r>
        <w:rPr>
          <w:rFonts w:ascii="Times New Roman" w:hAnsi="Times New Roman"/>
          <w:caps w:val="false"/>
          <w:smallCaps w:val="false"/>
          <w:sz w:val="20"/>
        </w:rPr>
        <w:t> under the AZSTARYS License Agreement.</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The AZSTARYS License Agreement is within the scope of ASC </w:t>
      </w:r>
      <w:r>
        <w:rPr>
          <w:rStyle w:val="Emphasis"/>
          <w:rFonts w:ascii="Times New Roman" w:hAnsi="Times New Roman"/>
          <w:caps w:val="false"/>
          <w:smallCaps w:val="false"/>
          <w:sz w:val="20"/>
        </w:rPr>
        <w:t>606,</w:t>
      </w:r>
      <w:r>
        <w:rPr>
          <w:rFonts w:ascii="Times New Roman" w:hAnsi="Times New Roman"/>
          <w:caps w:val="false"/>
          <w:smallCaps w:val="false"/>
          <w:sz w:val="20"/>
        </w:rPr>
        <w:t> as the transaction represents a contract with a customer where the participants function in a customer / vendor relationship and are </w:t>
      </w:r>
      <w:r>
        <w:rPr>
          <w:rStyle w:val="Emphasis"/>
          <w:rFonts w:ascii="Times New Roman" w:hAnsi="Times New Roman"/>
          <w:caps w:val="false"/>
          <w:smallCaps w:val="false"/>
          <w:sz w:val="20"/>
        </w:rPr>
        <w:t>not</w:t>
      </w:r>
      <w:r>
        <w:rPr>
          <w:rFonts w:ascii="Times New Roman" w:hAnsi="Times New Roman"/>
          <w:caps w:val="false"/>
          <w:smallCaps w:val="false"/>
          <w:sz w:val="20"/>
        </w:rPr>
        <w:t> exposed equally to the risks and rewards of the activities contemplated under the AZSTARYS License Agreement. Using the concepts of ASC </w:t>
      </w:r>
      <w:r>
        <w:rPr>
          <w:rStyle w:val="Emphasis"/>
          <w:rFonts w:ascii="Times New Roman" w:hAnsi="Times New Roman"/>
          <w:caps w:val="false"/>
          <w:smallCaps w:val="false"/>
          <w:sz w:val="20"/>
        </w:rPr>
        <w:t>606,</w:t>
      </w:r>
      <w:r>
        <w:rPr>
          <w:rFonts w:ascii="Times New Roman" w:hAnsi="Times New Roman"/>
          <w:caps w:val="false"/>
          <w:smallCaps w:val="false"/>
          <w:sz w:val="20"/>
        </w:rPr>
        <w:t> the Company identified the grant of the exclusive, worldwide license and the performance of consulting services, which includes the reimbursement of out-of-pocket </w:t>
      </w:r>
      <w:r>
        <w:rPr>
          <w:rStyle w:val="Emphasis"/>
          <w:rFonts w:ascii="Times New Roman" w:hAnsi="Times New Roman"/>
          <w:caps w:val="false"/>
          <w:smallCaps w:val="false"/>
          <w:sz w:val="20"/>
        </w:rPr>
        <w:t>third</w:t>
      </w:r>
      <w:r>
        <w:rPr>
          <w:rFonts w:ascii="Times New Roman" w:hAnsi="Times New Roman"/>
          <w:caps w:val="false"/>
          <w:smallCaps w:val="false"/>
          <w:sz w:val="20"/>
        </w:rPr>
        <w:t>-party research and development costs, as its only </w:t>
      </w:r>
      <w:r>
        <w:rPr>
          <w:rStyle w:val="Emphasis"/>
          <w:rFonts w:ascii="Times New Roman" w:hAnsi="Times New Roman"/>
          <w:caps w:val="false"/>
          <w:smallCaps w:val="false"/>
          <w:sz w:val="20"/>
        </w:rPr>
        <w:t>two</w:t>
      </w:r>
      <w:r>
        <w:rPr>
          <w:rFonts w:ascii="Times New Roman" w:hAnsi="Times New Roman"/>
          <w:caps w:val="false"/>
          <w:smallCaps w:val="false"/>
          <w:sz w:val="20"/>
        </w:rPr>
        <w:t> performance obligations at inception. The Company further determined that the transaction price, at inception, under the agreement was </w:t>
      </w:r>
      <w:r>
        <w:rPr>
          <w:rStyle w:val="Emphasis"/>
          <w:rFonts w:ascii="Times New Roman" w:hAnsi="Times New Roman"/>
          <w:caps w:val="false"/>
          <w:smallCaps w:val="false"/>
          <w:sz w:val="20"/>
        </w:rPr>
        <w:t>$10.0</w:t>
      </w:r>
      <w:r>
        <w:rPr>
          <w:rFonts w:ascii="Times New Roman" w:hAnsi="Times New Roman"/>
          <w:caps w:val="false"/>
          <w:smallCaps w:val="false"/>
          <w:sz w:val="20"/>
        </w:rPr>
        <w:t> million upfront payment plus the fair value of the Development Costs (as defined in the AZSTARYS License Agreement) which was allocated among the performance obligations based on their respective related stand-alone selling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Company is entitled to additional payments from Commave conditioned upon the achievement of specified regulatory milestones related to AZSTARYS and the achievement of certain U.S. sales milestones. Further, Commave will pay the Company quarterly, tiered royalty payments based on a range of percentage of Net Sales (as defined in the AZSTARYS License Agreement). The Company concluded that these regulatory milestones, sales milestones and royalty payments each contain a significant uncertainty associated with a future event. As such, these milestone and royalty payments are constrained at contract inception and are </w:t>
      </w:r>
      <w:r>
        <w:rPr>
          <w:rStyle w:val="Emphasis"/>
          <w:rFonts w:ascii="Times New Roman" w:hAnsi="Times New Roman"/>
          <w:caps w:val="false"/>
          <w:smallCaps w:val="false"/>
          <w:sz w:val="20"/>
        </w:rPr>
        <w:t>not</w:t>
      </w:r>
      <w:r>
        <w:rPr>
          <w:rFonts w:ascii="Times New Roman" w:hAnsi="Times New Roman"/>
          <w:caps w:val="false"/>
          <w:smallCaps w:val="false"/>
          <w:sz w:val="20"/>
        </w:rPr>
        <w:t> included in the transaction price as the Company could </w:t>
      </w:r>
      <w:r>
        <w:rPr>
          <w:rStyle w:val="Emphasis"/>
          <w:rFonts w:ascii="Times New Roman" w:hAnsi="Times New Roman"/>
          <w:caps w:val="false"/>
          <w:smallCaps w:val="false"/>
          <w:sz w:val="20"/>
        </w:rPr>
        <w:t>not</w:t>
      </w:r>
      <w:r>
        <w:rPr>
          <w:rFonts w:ascii="Times New Roman" w:hAnsi="Times New Roman"/>
          <w:caps w:val="false"/>
          <w:smallCaps w:val="false"/>
          <w:sz w:val="20"/>
        </w:rPr>
        <w:t> conclude that it is probable a significant reversal in the amount of cumulative revenue recognized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occur surrounding these milestone payments. At the end of each reporting period, the Company updates its assessment of whether the milestone and royalty payments are constrained by considering both the likelihood and magnitude of the potential revenue reversal.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Company recognized </w:t>
      </w:r>
      <w:r>
        <w:rPr>
          <w:rFonts w:ascii="Times New Roman" w:hAnsi="Times New Roman"/>
          <w:caps w:val="false"/>
          <w:smallCaps w:val="false"/>
          <w:sz w:val="20"/>
          <w:shd w:fill="FFFFFF" w:val="clear"/>
        </w:rPr>
        <w:t>$0.6 mi</w:t>
      </w:r>
      <w:r>
        <w:rPr>
          <w:rFonts w:ascii="Times New Roman" w:hAnsi="Times New Roman"/>
          <w:caps w:val="false"/>
          <w:smallCaps w:val="false"/>
          <w:sz w:val="20"/>
        </w:rPr>
        <w:t xml:space="preserve">llion and $0.1 million of revenue under the AZSTARYS License Agreement, respectively. There was no deferred revenue related to this agreement as of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or </w:t>
      </w:r>
      <w:r>
        <w:rPr>
          <w:rStyle w:val="Emphasis"/>
          <w:rFonts w:ascii="Times New Roman" w:hAnsi="Times New Roman"/>
          <w:caps w:val="false"/>
          <w:smallCaps w:val="false"/>
          <w:sz w:val="20"/>
        </w:rPr>
        <w:t>December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Consulting Arrangements</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enters into consulting arrangements with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parties that fall under the scope of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These arrangements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require the Company to deliver various rights, services, including research and development services, regulatory services and/or commercialization support services. The underlying terms of these arrangements generally provide for consideration to the Company in the form of consulting fees and reimbursements of out-of-pocket </w:t>
      </w:r>
      <w:r>
        <w:rPr>
          <w:rStyle w:val="Emphasis"/>
          <w:rFonts w:ascii="Times New Roman" w:hAnsi="Times New Roman"/>
          <w:caps w:val="false"/>
          <w:smallCaps w:val="false"/>
          <w:sz w:val="20"/>
        </w:rPr>
        <w:t>third</w:t>
      </w:r>
      <w:r>
        <w:rPr>
          <w:rFonts w:ascii="Times New Roman" w:hAnsi="Times New Roman"/>
          <w:caps w:val="false"/>
          <w:smallCaps w:val="false"/>
          <w:sz w:val="20"/>
        </w:rPr>
        <w:t>-party research and development, regulatory and commercial costs.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Corium Consulting Agreement</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July 2020, </w:t>
      </w:r>
      <w:r>
        <w:rPr>
          <w:rFonts w:ascii="Times New Roman" w:hAnsi="Times New Roman"/>
          <w:caps w:val="false"/>
          <w:smallCaps w:val="false"/>
          <w:sz w:val="20"/>
        </w:rPr>
        <w:t>the Company entered into a consultation services arrangement (the “Corium Consulting Agreement”) with Corium under which Corium engaged the Company to guide the product development and regulatory activities for certain current and potential future products in Corium’s portfolio, as well as continue supporting preparation for the potential commercial launch of AZSTARYS (together, “Corium Consulting Services”). Corium is a portfolio company of GPC and was tasked by Commave to lead all commercialization activities for AZSTARYS under the AZSTARYS License Agreement, as discussed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Under the Corium Consulting Agreement, the Company was entitled to receive payments from Corium of up to $15.6 million, $13.6 million of which was paid in quarterly installments through </w:t>
      </w:r>
      <w:r>
        <w:rPr>
          <w:rStyle w:val="Emphasis"/>
          <w:rFonts w:ascii="Times New Roman" w:hAnsi="Times New Roman"/>
          <w:caps w:val="false"/>
          <w:smallCaps w:val="false"/>
          <w:sz w:val="20"/>
        </w:rPr>
        <w:t xml:space="preserve"> March 31,</w:t>
      </w:r>
      <w:r>
        <w:rPr>
          <w:rFonts w:ascii="Times New Roman" w:hAnsi="Times New Roman"/>
          <w:caps w:val="false"/>
          <w:smallCaps w:val="false"/>
          <w:sz w:val="20"/>
        </w:rPr>
        <w:t>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remaining $2.0 million was conditioned upon the approval by the FDA of the NDA for Corium's product candidate, ADLARITY. This $2.0 million was earned in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Corium also agreed to be responsible for and reimburse the Company for all development, commercialization and regulatory expenses incurred as part of the performance of the Corium Consulting Services. The Corium Consulting Agreement is within the scope of ASC </w:t>
      </w:r>
      <w:r>
        <w:rPr>
          <w:rStyle w:val="Emphasis"/>
          <w:rFonts w:ascii="Times New Roman" w:hAnsi="Times New Roman"/>
          <w:caps w:val="false"/>
          <w:smallCaps w:val="false"/>
          <w:sz w:val="20"/>
        </w:rPr>
        <w:t>606,</w:t>
      </w:r>
      <w:r>
        <w:rPr>
          <w:rFonts w:ascii="Times New Roman" w:hAnsi="Times New Roman"/>
          <w:caps w:val="false"/>
          <w:smallCaps w:val="false"/>
          <w:sz w:val="20"/>
        </w:rPr>
        <w:t> as the transaction represents a contract with a customer where the participants function in a customer / vendor relationship and are </w:t>
      </w:r>
      <w:r>
        <w:rPr>
          <w:rStyle w:val="Emphasis"/>
          <w:rFonts w:ascii="Times New Roman" w:hAnsi="Times New Roman"/>
          <w:caps w:val="false"/>
          <w:smallCaps w:val="false"/>
          <w:sz w:val="20"/>
        </w:rPr>
        <w:t>not</w:t>
      </w:r>
      <w:r>
        <w:rPr>
          <w:rFonts w:ascii="Times New Roman" w:hAnsi="Times New Roman"/>
          <w:caps w:val="false"/>
          <w:smallCaps w:val="false"/>
          <w:sz w:val="20"/>
        </w:rPr>
        <w:t> exposed equally to the risks and rewards of the activities contemplated under the Corium Consulting Agreement. The Company identified the performance of consulting services, which includes the reimbursement to the Company of </w:t>
      </w:r>
      <w:r>
        <w:rPr>
          <w:rStyle w:val="Emphasis"/>
          <w:rFonts w:ascii="Times New Roman" w:hAnsi="Times New Roman"/>
          <w:caps w:val="false"/>
          <w:smallCaps w:val="false"/>
          <w:sz w:val="20"/>
        </w:rPr>
        <w:t>third</w:t>
      </w:r>
      <w:r>
        <w:rPr>
          <w:rFonts w:ascii="Times New Roman" w:hAnsi="Times New Roman"/>
          <w:caps w:val="false"/>
          <w:smallCaps w:val="false"/>
          <w:sz w:val="20"/>
        </w:rPr>
        <w:t>-party pass-through costs, as its only performance obligation at inception. The Company further determined that the transaction price, at inception, under the agreement was $13.6 million which is the fair value of the consulting services, including the reimbursement of </w:t>
      </w:r>
      <w:r>
        <w:rPr>
          <w:rStyle w:val="Emphasis"/>
          <w:rFonts w:ascii="Times New Roman" w:hAnsi="Times New Roman"/>
          <w:caps w:val="false"/>
          <w:smallCaps w:val="false"/>
          <w:sz w:val="20"/>
        </w:rPr>
        <w:t>third</w:t>
      </w:r>
      <w:r>
        <w:rPr>
          <w:rFonts w:ascii="Times New Roman" w:hAnsi="Times New Roman"/>
          <w:caps w:val="false"/>
          <w:smallCaps w:val="false"/>
          <w:sz w:val="20"/>
        </w:rPr>
        <w:t>-party pass-through costs. The Company concluded that the regulatory milestone contains a significant uncertainty associated with a future event. As such, this milestone is constrained at contract inception and is </w:t>
      </w:r>
      <w:r>
        <w:rPr>
          <w:rStyle w:val="Emphasis"/>
          <w:rFonts w:ascii="Times New Roman" w:hAnsi="Times New Roman"/>
          <w:caps w:val="false"/>
          <w:smallCaps w:val="false"/>
          <w:sz w:val="20"/>
        </w:rPr>
        <w:t>not</w:t>
      </w:r>
      <w:r>
        <w:rPr>
          <w:rFonts w:ascii="Times New Roman" w:hAnsi="Times New Roman"/>
          <w:caps w:val="false"/>
          <w:smallCaps w:val="false"/>
          <w:sz w:val="20"/>
        </w:rPr>
        <w:t> included in the transaction price as the Company could </w:t>
      </w:r>
      <w:r>
        <w:rPr>
          <w:rStyle w:val="Emphasis"/>
          <w:rFonts w:ascii="Times New Roman" w:hAnsi="Times New Roman"/>
          <w:caps w:val="false"/>
          <w:smallCaps w:val="false"/>
          <w:sz w:val="20"/>
        </w:rPr>
        <w:t>not</w:t>
      </w:r>
      <w:r>
        <w:rPr>
          <w:rFonts w:ascii="Times New Roman" w:hAnsi="Times New Roman"/>
          <w:caps w:val="false"/>
          <w:smallCaps w:val="false"/>
          <w:sz w:val="20"/>
        </w:rPr>
        <w:t> conclude that it is probable a significant reversal in the amount of cumulative revenue recognized will </w:t>
      </w:r>
      <w:r>
        <w:rPr>
          <w:rStyle w:val="Emphasis"/>
          <w:rFonts w:ascii="Times New Roman" w:hAnsi="Times New Roman"/>
          <w:caps w:val="false"/>
          <w:smallCaps w:val="false"/>
          <w:sz w:val="20"/>
        </w:rPr>
        <w:t>not</w:t>
      </w:r>
      <w:r>
        <w:rPr>
          <w:rFonts w:ascii="Times New Roman" w:hAnsi="Times New Roman"/>
          <w:caps w:val="false"/>
          <w:smallCaps w:val="false"/>
          <w:sz w:val="20"/>
        </w:rPr>
        <w:t> occur surrounding these milestone payments.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Company determined that the performance of consulting services, including reimbursement of </w:t>
      </w:r>
      <w:r>
        <w:rPr>
          <w:rStyle w:val="Emphasis"/>
          <w:rFonts w:ascii="Times New Roman" w:hAnsi="Times New Roman"/>
          <w:caps w:val="false"/>
          <w:smallCaps w:val="false"/>
          <w:sz w:val="20"/>
        </w:rPr>
        <w:t>third</w:t>
      </w:r>
      <w:r>
        <w:rPr>
          <w:rFonts w:ascii="Times New Roman" w:hAnsi="Times New Roman"/>
          <w:caps w:val="false"/>
          <w:smallCaps w:val="false"/>
          <w:sz w:val="20"/>
        </w:rPr>
        <w:t>-party pass-through costs, is a performance obligation that is satisfied over time as the services are performed and the reimbursable costs are paid. As such, the revenue related to the performance obligation was recognized as the consulting services were performed and the services associated with the reimbursable </w:t>
      </w:r>
      <w:r>
        <w:rPr>
          <w:rStyle w:val="Emphasis"/>
          <w:rFonts w:ascii="Times New Roman" w:hAnsi="Times New Roman"/>
          <w:caps w:val="false"/>
          <w:smallCaps w:val="false"/>
          <w:sz w:val="20"/>
        </w:rPr>
        <w:t>third</w:t>
      </w:r>
      <w:r>
        <w:rPr>
          <w:rFonts w:ascii="Times New Roman" w:hAnsi="Times New Roman"/>
          <w:caps w:val="false"/>
          <w:smallCaps w:val="false"/>
          <w:sz w:val="20"/>
        </w:rPr>
        <w:t>-party pass-through costs were incurred and paid by the Company, in accordance with the practical expedient allowed under ASC </w:t>
      </w:r>
      <w:r>
        <w:rPr>
          <w:rStyle w:val="Emphasis"/>
          <w:rFonts w:ascii="Times New Roman" w:hAnsi="Times New Roman"/>
          <w:caps w:val="false"/>
          <w:smallCaps w:val="false"/>
          <w:sz w:val="20"/>
        </w:rPr>
        <w:t>606</w:t>
      </w:r>
      <w:r>
        <w:rPr>
          <w:rFonts w:ascii="Times New Roman" w:hAnsi="Times New Roman"/>
          <w:caps w:val="false"/>
          <w:smallCaps w:val="false"/>
          <w:sz w:val="20"/>
        </w:rPr>
        <w:t> regarding an entity’s right to consideration from a customer in an amount that corresponds directly to the value to the customer of the entity’s performance completed to date.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Company recognized $0.2 million and $3.5 million of revenue, respectively, under the Corium Consulting Agreement. As of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the Company had no deferred revenue related to this agreement. The Corium Consulting Agreement expired on </w:t>
      </w:r>
      <w:r>
        <w:rPr>
          <w:rStyle w:val="Emphasis"/>
          <w:rFonts w:ascii="Times New Roman" w:hAnsi="Times New Roman"/>
          <w:caps w:val="false"/>
          <w:smallCaps w:val="false"/>
          <w:sz w:val="20"/>
        </w:rPr>
        <w:t>March 31, 2023.</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Foreign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Assets and liabilities are translated into the reporting currency using the exchange rates in effect on the unaudited consolidated condensed balance sheet dates. Equity accounts are translated at historical rates, except for the change in retained earnings during the year, which is the result of the income statement translation process. Revenue and expense accounts are translated using the weighted average exchange rate during the period. The cumulative translation adjustments associated with the net assets of foreign subsidiaries are recorded in accumulated other comprehensive income/loss in the accompanying unaudited condensed consolidated statements of stockholders’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Accounts and Other Receivables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Accounts and other receivables consist of receivables under the AZSTARYS License Agreement and Arimoclomol EAP, as well as receivables related to consulting arrangements, income tax receivables and other receivables due to the Company. Receivables under the AZSTARYS License Agreement are recorded for amounts due to the Company related to reimbursable </w:t>
      </w:r>
      <w:r>
        <w:rPr>
          <w:rStyle w:val="Emphasis"/>
          <w:rFonts w:ascii="Times New Roman;Times;serif" w:hAnsi="Times New Roman;Times;serif"/>
          <w:sz w:val="20"/>
        </w:rPr>
        <w:t>third</w:t>
      </w:r>
      <w:r>
        <w:rPr>
          <w:rFonts w:ascii="Times New Roman;Times;serif" w:hAnsi="Times New Roman;Times;serif"/>
          <w:sz w:val="20"/>
        </w:rPr>
        <w:t xml:space="preserve">-party costs and royalties on product sales. Receivables under the Arimoclomol EAP are recorded for product sales under the French nATU. These receivables, as well as the receivables related to consulting arrangements, are evaluated to determine if any reserve or allowance should be established at each reporting date. As of </w:t>
      </w:r>
      <w:r>
        <w:rPr>
          <w:rStyle w:val="Emphasis"/>
          <w:rFonts w:ascii="Times New Roman;Times;serif" w:hAnsi="Times New Roman;Times;serif"/>
          <w:sz w:val="20"/>
        </w:rPr>
        <w:t>March 31, 2023,</w:t>
      </w:r>
      <w:r>
        <w:rPr>
          <w:rFonts w:ascii="Times New Roman;Times;serif" w:hAnsi="Times New Roman;Times;serif"/>
          <w:sz w:val="20"/>
        </w:rPr>
        <w:t> the Company had receivables related to the Arimoclomol EAP of $5.3 million, AZSTARYS License Agreement of $0.6 million, consulting arrangements of $</w:t>
      </w:r>
      <w:r>
        <w:rPr>
          <w:rFonts w:ascii="Times New Roman;Times;serif" w:hAnsi="Times New Roman;Times;serif"/>
          <w:sz w:val="20"/>
          <w:shd w:fill="FFFFFF" w:val="clear"/>
        </w:rPr>
        <w:t>0.2 m</w:t>
      </w:r>
      <w:r>
        <w:rPr>
          <w:rFonts w:ascii="Times New Roman;Times;serif" w:hAnsi="Times New Roman;Times;serif"/>
          <w:sz w:val="20"/>
        </w:rPr>
        <w:t xml:space="preserve">illion, income tax receivables of </w:t>
      </w:r>
      <w:r>
        <w:rPr>
          <w:rFonts w:ascii="Times New Roman;Times;serif" w:hAnsi="Times New Roman;Times;serif"/>
          <w:sz w:val="20"/>
          <w:shd w:fill="FFFFFF" w:val="clear"/>
        </w:rPr>
        <w:t>$1.0 </w:t>
      </w:r>
      <w:r>
        <w:rPr>
          <w:rFonts w:ascii="Times New Roman;Times;serif" w:hAnsi="Times New Roman;Times;serif"/>
          <w:sz w:val="20"/>
        </w:rPr>
        <w:t>million, and other receivables of $0.7 million. As of </w:t>
      </w:r>
      <w:r>
        <w:rPr>
          <w:rStyle w:val="Emphasis"/>
          <w:rFonts w:ascii="Times New Roman;Times;serif" w:hAnsi="Times New Roman;Times;serif"/>
          <w:sz w:val="20"/>
        </w:rPr>
        <w:t xml:space="preserve"> December 31, 2022, </w:t>
      </w:r>
      <w:r>
        <w:rPr>
          <w:rFonts w:ascii="Times New Roman;Times;serif" w:hAnsi="Times New Roman;Times;serif"/>
          <w:sz w:val="20"/>
        </w:rPr>
        <w:t xml:space="preserve">the Company had receivables related to the Arimoclomol EAP of $6.3 million, Corium Consulting Agreement of </w:t>
      </w:r>
      <w:r>
        <w:rPr>
          <w:rFonts w:ascii="Times New Roman;Times;serif" w:hAnsi="Times New Roman;Times;serif"/>
          <w:sz w:val="20"/>
          <w:shd w:fill="FFFFFF" w:val="clear"/>
        </w:rPr>
        <w:t>$0.2 m</w:t>
      </w:r>
      <w:r>
        <w:rPr>
          <w:rFonts w:ascii="Times New Roman;Times;serif" w:hAnsi="Times New Roman;Times;serif"/>
          <w:sz w:val="20"/>
        </w:rPr>
        <w:t>illion, AZSTARYS License Agreement of $0.5 million, income tax receivables of</w:t>
      </w:r>
      <w:r>
        <w:rPr>
          <w:rFonts w:ascii="Times New Roman;Times;serif" w:hAnsi="Times New Roman;Times;serif"/>
          <w:sz w:val="20"/>
          <w:shd w:fill="FFFFFF" w:val="clear"/>
        </w:rPr>
        <w:t xml:space="preserve"> $0.9 million and other receivables of $0.4 m</w:t>
      </w:r>
      <w:r>
        <w:rPr>
          <w:rFonts w:ascii="Times New Roman;Times;serif" w:hAnsi="Times New Roman;Times;serif"/>
          <w:sz w:val="20"/>
        </w:rPr>
        <w:t xml:space="preserve">illion. As of </w:t>
      </w:r>
      <w:r>
        <w:rPr>
          <w:rStyle w:val="Emphasis"/>
          <w:rFonts w:ascii="Times New Roman;Times;serif" w:hAnsi="Times New Roman;Times;serif"/>
          <w:sz w:val="20"/>
        </w:rPr>
        <w:t xml:space="preserve">March 31, 2023, </w:t>
      </w:r>
      <w:r>
        <w:rPr>
          <w:rFonts w:ascii="Times New Roman;Times;serif" w:hAnsi="Times New Roman;Times;serif"/>
          <w:sz w:val="20"/>
        </w:rPr>
        <w:t xml:space="preserve">and </w:t>
      </w:r>
      <w:r>
        <w:rPr>
          <w:rStyle w:val="Emphasis"/>
          <w:rFonts w:ascii="Times New Roman;Times;serif" w:hAnsi="Times New Roman;Times;serif"/>
          <w:sz w:val="20"/>
        </w:rPr>
        <w:t>December 31, 2022, </w:t>
      </w:r>
      <w:r>
        <w:rPr>
          <w:rFonts w:ascii="Times New Roman;Times;serif" w:hAnsi="Times New Roman;Times;serif"/>
          <w:sz w:val="20"/>
        </w:rPr>
        <w:t>no reserve or allowance for doubtful accounts had been established.</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930" w:type="dxa"/>
        <w:jc w:val="left"/>
        <w:tblInd w:w="0" w:type="dxa"/>
        <w:tblLayout w:type="fixed"/>
        <w:tblCellMar>
          <w:top w:w="0" w:type="dxa"/>
          <w:left w:w="0" w:type="dxa"/>
          <w:bottom w:w="0" w:type="dxa"/>
          <w:right w:w="0" w:type="dxa"/>
        </w:tblCellMar>
      </w:tblPr>
      <w:tblGrid>
        <w:gridCol w:w="200"/>
        <w:gridCol w:w="1730"/>
      </w:tblGrid>
      <w:tr>
        <w:trPr/>
        <w:tc>
          <w:tcPr>
            <w:tcW w:w="20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w:t>
            </w:r>
          </w:p>
        </w:tc>
        <w:tc>
          <w:tcPr>
            <w:tcW w:w="1730" w:type="dxa"/>
            <w:tcBorders/>
            <w:vAlign w:val="center"/>
          </w:tcPr>
          <w:p>
            <w:pPr>
              <w:pStyle w:val="TableContents"/>
              <w:bidi w:val="0"/>
              <w:spacing w:before="0" w:after="283"/>
              <w:jc w:val="left"/>
              <w:rPr>
                <w:b/>
              </w:rPr>
            </w:pPr>
            <w:r>
              <w:rPr>
                <w:b/>
              </w:rPr>
              <w:t>Debt Obligations</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Line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May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Company and Ameris Bank, as lender, entered into a $20.0 million revolving loan agreement (the “Line of Credit”). Proceeds of the revolving facility provided by the Line of Credit are to be used for general corporate purposes. Loans under the Line of Credit bear interest at the Secured Overnight Financing Rate ("SOFR") plus 1.60%, with a SOFR floor of </w:t>
      </w:r>
      <w:r>
        <w:rPr>
          <w:rStyle w:val="Emphasis"/>
          <w:rFonts w:ascii="Times New Roman" w:hAnsi="Times New Roman"/>
          <w:caps w:val="false"/>
          <w:smallCaps w:val="false"/>
          <w:sz w:val="20"/>
        </w:rPr>
        <w:t>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revolving facility under the Line of Credit is secured by a perfected security interest in deposit accounts. The revolving facility under the Line of Credit is subject to customary affirmative and negative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latest maturity date of the loans under the Line of Credit was </w:t>
      </w:r>
      <w:r>
        <w:rPr>
          <w:rStyle w:val="Emphasis"/>
          <w:rFonts w:ascii="Times New Roman" w:hAnsi="Times New Roman"/>
          <w:caps w:val="false"/>
          <w:smallCaps w:val="false"/>
          <w:sz w:val="20"/>
        </w:rPr>
        <w:t xml:space="preserve"> May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Line of Credit contained customary events of default that could have led to an acceleration of the loans, including cross-default, bankruptcy and payment defaults. As of </w:t>
      </w:r>
      <w:r>
        <w:rPr>
          <w:rStyle w:val="Emphasis"/>
          <w:rFonts w:ascii="Times New Roman" w:hAnsi="Times New Roman"/>
          <w:caps w:val="false"/>
          <w:smallCaps w:val="false"/>
          <w:sz w:val="20"/>
        </w:rPr>
        <w:t xml:space="preserve"> December 31, 2022, </w:t>
      </w:r>
      <w:r>
        <w:rPr>
          <w:rFonts w:ascii="Times New Roman" w:hAnsi="Times New Roman"/>
          <w:caps w:val="false"/>
          <w:smallCaps w:val="false"/>
          <w:sz w:val="20"/>
        </w:rPr>
        <w:t xml:space="preserve">the Company had drawn $12.8 million from the Line of Credit to finance the transactions under the Arimoclomol Purchase Agreement, and this amount was supported by a $12.8 million certificate of deposit which was shown as long-term investments - others in the unaudited condensed consolidated balance sheet as of </w:t>
      </w:r>
      <w:r>
        <w:rPr>
          <w:rStyle w:val="Emphasis"/>
          <w:rFonts w:ascii="Times New Roman" w:hAnsi="Times New Roman"/>
          <w:caps w:val="false"/>
          <w:smallCaps w:val="false"/>
          <w:sz w:val="20"/>
        </w:rPr>
        <w:t>December 31, 2022. </w:t>
      </w:r>
      <w:r>
        <w:rPr>
          <w:rFonts w:ascii="Times New Roman" w:hAnsi="Times New Roman"/>
          <w:caps w:val="false"/>
          <w:smallCaps w:val="false"/>
          <w:sz w:val="20"/>
        </w:rPr>
        <w:t xml:space="preserve">The remaining $7.2 million under the Line of Credit was in a separate interest-bearing certificate of deposit and is also recorded as long-term investments - other in the unaudited condensed consolidated balance sheets as of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These certificates of deposit are pledged as collateral against the Line of Credit and could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redeemed so long as the $20.0 million remained available under the Line of Credit. The total value of the certificates of deposit held with Ameris Bank must meet or exceed the amount available to borrow under the Line of Credit so long as the Line of Credit remains active. On </w:t>
      </w:r>
      <w:r>
        <w:rPr>
          <w:rStyle w:val="Emphasis"/>
          <w:rFonts w:ascii="Times New Roman" w:hAnsi="Times New Roman"/>
          <w:caps w:val="false"/>
          <w:smallCaps w:val="false"/>
          <w:sz w:val="20"/>
        </w:rPr>
        <w:t xml:space="preserve">January 31, 2023, </w:t>
      </w:r>
      <w:r>
        <w:rPr>
          <w:rFonts w:ascii="Times New Roman" w:hAnsi="Times New Roman"/>
          <w:caps w:val="false"/>
          <w:smallCaps w:val="false"/>
          <w:sz w:val="20"/>
        </w:rPr>
        <w:t xml:space="preserve">the Company repaid the $12.8 million outstanding under the Line of Credit in full and closed the Line of Credit. In conjunction with closing the Line of Credit, the maturity dates of the certificates of deposit were modified to </w:t>
      </w:r>
      <w:r>
        <w:rPr>
          <w:rStyle w:val="Emphasis"/>
          <w:rFonts w:ascii="Times New Roman" w:hAnsi="Times New Roman"/>
          <w:caps w:val="false"/>
          <w:smallCaps w:val="false"/>
          <w:sz w:val="20"/>
        </w:rPr>
        <w:t>May 2023. </w:t>
      </w:r>
      <w:r>
        <w:rPr>
          <w:rFonts w:ascii="Times New Roman" w:hAnsi="Times New Roman"/>
          <w:caps w:val="false"/>
          <w:smallCaps w:val="false"/>
          <w:sz w:val="20"/>
        </w:rPr>
        <w:t xml:space="preserve">As such, the certificates of deposit are classified as short-term investments - other in the unaudited condensed consolidated balance sheet as of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No amounts are outstanding under the Line of Credit as of </w:t>
      </w:r>
      <w:r>
        <w:rPr>
          <w:rStyle w:val="Emphasis"/>
          <w:rFonts w:ascii="Times New Roman" w:hAnsi="Times New Roman"/>
          <w:caps w:val="false"/>
          <w:smallCaps w:val="false"/>
          <w:sz w:val="20"/>
        </w:rPr>
        <w:t>March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26, 2023, </w:t>
      </w:r>
      <w:r>
        <w:rPr>
          <w:rFonts w:ascii="Times New Roman" w:hAnsi="Times New Roman"/>
          <w:caps w:val="false"/>
          <w:smallCaps w:val="false"/>
          <w:sz w:val="20"/>
        </w:rPr>
        <w:t xml:space="preserve">the Company and Wells Fargo, as lender, entered into a revolving margin account agreement under which the Company initially borrowed $12.8 million. The Company's investments are used as collateral for the loan and the amount the Company is able to borrow is limited to </w:t>
      </w:r>
      <w:r>
        <w:rPr>
          <w:rStyle w:val="Emphasis"/>
          <w:rFonts w:ascii="Times New Roman" w:hAnsi="Times New Roman"/>
          <w:caps w:val="false"/>
          <w:smallCaps w:val="false"/>
          <w:sz w:val="20"/>
        </w:rPr>
        <w:t>80</w:t>
      </w:r>
      <w:r>
        <w:rPr>
          <w:rFonts w:ascii="Times New Roman" w:hAnsi="Times New Roman"/>
          <w:caps w:val="false"/>
          <w:smallCaps w:val="false"/>
          <w:sz w:val="20"/>
        </w:rPr>
        <w:t>-</w:t>
      </w:r>
      <w:r>
        <w:rPr>
          <w:rStyle w:val="Emphasis"/>
          <w:rFonts w:ascii="Times New Roman" w:hAnsi="Times New Roman"/>
          <w:caps w:val="false"/>
          <w:smallCaps w:val="false"/>
          <w:sz w:val="20"/>
        </w:rPr>
        <w:t>90%</w:t>
      </w:r>
      <w:r>
        <w:rPr>
          <w:rFonts w:ascii="Times New Roman" w:hAnsi="Times New Roman"/>
          <w:caps w:val="false"/>
          <w:smallCaps w:val="false"/>
          <w:sz w:val="20"/>
        </w:rPr>
        <w:t xml:space="preserve"> of its outstanding investment balance held with Wells Fargo. The margin account bears interest at the Prime rate minus 225 basis-points. As of </w:t>
      </w:r>
      <w:r>
        <w:rPr>
          <w:rStyle w:val="Emphasis"/>
          <w:rFonts w:ascii="Times New Roman" w:hAnsi="Times New Roman"/>
          <w:caps w:val="false"/>
          <w:smallCaps w:val="false"/>
          <w:sz w:val="20"/>
        </w:rPr>
        <w:t>March 31, 20</w:t>
      </w:r>
      <w:r>
        <w:rPr>
          <w:rStyle w:val="Emphasis"/>
          <w:rFonts w:ascii="Times New Roman" w:hAnsi="Times New Roman"/>
          <w:caps w:val="false"/>
          <w:smallCaps w:val="false"/>
          <w:sz w:val="20"/>
          <w:shd w:fill="FFFFFF" w:val="clear"/>
        </w:rPr>
        <w:t>23,</w:t>
      </w:r>
      <w:r>
        <w:rPr>
          <w:rFonts w:ascii="Times New Roman" w:hAnsi="Times New Roman"/>
          <w:caps w:val="false"/>
          <w:smallCaps w:val="false"/>
          <w:sz w:val="20"/>
          <w:shd w:fill="FFFFFF" w:val="clear"/>
        </w:rPr>
        <w:t xml:space="preserve"> $12.9 millio</w:t>
      </w:r>
      <w:r>
        <w:rPr>
          <w:rFonts w:ascii="Times New Roman" w:hAnsi="Times New Roman"/>
          <w:caps w:val="false"/>
          <w:smallCaps w:val="false"/>
          <w:sz w:val="20"/>
        </w:rPr>
        <w:t>n was outstanding under the margin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3640" w:type="dxa"/>
        <w:jc w:val="left"/>
        <w:tblInd w:w="0" w:type="dxa"/>
        <w:tblLayout w:type="fixed"/>
        <w:tblCellMar>
          <w:top w:w="0" w:type="dxa"/>
          <w:left w:w="0" w:type="dxa"/>
          <w:bottom w:w="0" w:type="dxa"/>
          <w:right w:w="0" w:type="dxa"/>
        </w:tblCellMar>
      </w:tblPr>
      <w:tblGrid>
        <w:gridCol w:w="260"/>
        <w:gridCol w:w="3380"/>
      </w:tblGrid>
      <w:tr>
        <w:trPr/>
        <w:tc>
          <w:tcPr>
            <w:tcW w:w="260" w:type="dxa"/>
            <w:tcBorders/>
            <w:vAlign w:val="center"/>
          </w:tcPr>
          <w:p>
            <w:pPr>
              <w:pStyle w:val="TableContents"/>
              <w:bidi w:val="0"/>
              <w:spacing w:before="0" w:after="283"/>
              <w:jc w:val="left"/>
              <w:rPr>
                <w:b/>
              </w:rPr>
            </w:pPr>
            <w:r>
              <w:rPr>
                <w:b/>
              </w:rPr>
              <w:t>D.</w:t>
            </w:r>
          </w:p>
        </w:tc>
        <w:tc>
          <w:tcPr>
            <w:tcW w:w="3380" w:type="dxa"/>
            <w:tcBorders/>
            <w:vAlign w:val="center"/>
          </w:tcPr>
          <w:p>
            <w:pPr>
              <w:pStyle w:val="TableContents"/>
              <w:bidi w:val="0"/>
              <w:spacing w:before="0" w:after="283"/>
              <w:jc w:val="left"/>
              <w:rPr>
                <w:b/>
              </w:rPr>
            </w:pPr>
            <w:r>
              <w:rPr>
                <w:b/>
              </w:rPr>
              <w:t>Commitments and Contingencies</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From time to time, the Company is involved in various legal proceedings arising in the normal course of business. For some matters, a liability is </w:t>
      </w:r>
      <w:r>
        <w:rPr>
          <w:rStyle w:val="Emphasis"/>
          <w:rFonts w:ascii="Times New Roman;Times;serif" w:hAnsi="Times New Roman;Times;serif"/>
          <w:sz w:val="20"/>
        </w:rPr>
        <w:t>not</w:t>
      </w:r>
      <w:r>
        <w:rPr>
          <w:rFonts w:ascii="Times New Roman;Times;serif" w:hAnsi="Times New Roman;Times;serif"/>
          <w:sz w:val="20"/>
        </w:rPr>
        <w:t xml:space="preserve"> probable, or the amount cannot be reasonably estimated and, therefore, an accrual has </w:t>
      </w:r>
      <w:r>
        <w:rPr>
          <w:rStyle w:val="Emphasis"/>
          <w:rFonts w:ascii="Times New Roman;Times;serif" w:hAnsi="Times New Roman;Times;serif"/>
          <w:sz w:val="20"/>
        </w:rPr>
        <w:t>not</w:t>
      </w:r>
      <w:r>
        <w:rPr>
          <w:rFonts w:ascii="Times New Roman;Times;serif" w:hAnsi="Times New Roman;Times;serif"/>
          <w:sz w:val="20"/>
        </w:rPr>
        <w:t xml:space="preserve"> been made. However, for such matters when it is probable that the Company has incurred a liability and can reasonably estimate the amount, the Company accrues and discloses such estimates.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 Company and KVK-Tech, Inc. ("KVK") began discussing a possible termination of the Collaboration and License Agreement (the “Agreement”) that the parties entered into on </w:t>
      </w:r>
      <w:r>
        <w:rPr>
          <w:rStyle w:val="Emphasis"/>
          <w:rFonts w:ascii="Times New Roman" w:hAnsi="Times New Roman"/>
          <w:caps w:val="false"/>
          <w:smallCaps w:val="false"/>
          <w:sz w:val="20"/>
        </w:rPr>
        <w:t xml:space="preserve">October 25, 2018. </w:t>
      </w:r>
      <w:r>
        <w:rPr>
          <w:rFonts w:ascii="Times New Roman" w:hAnsi="Times New Roman"/>
          <w:caps w:val="false"/>
          <w:smallCaps w:val="false"/>
          <w:sz w:val="20"/>
        </w:rPr>
        <w:t xml:space="preserve">Under the terms of the Agreement, each party has grounds to terminate the Agreement. While negotiations are on-going, in </w:t>
      </w:r>
      <w:r>
        <w:rPr>
          <w:rStyle w:val="Emphasis"/>
          <w:rFonts w:ascii="Times New Roman" w:hAnsi="Times New Roman"/>
          <w:caps w:val="false"/>
          <w:smallCaps w:val="false"/>
          <w:sz w:val="20"/>
        </w:rPr>
        <w:t xml:space="preserve">April 2023, </w:t>
      </w:r>
      <w:r>
        <w:rPr>
          <w:rFonts w:ascii="Times New Roman" w:hAnsi="Times New Roman"/>
          <w:caps w:val="false"/>
          <w:smallCaps w:val="false"/>
          <w:sz w:val="20"/>
        </w:rPr>
        <w:t xml:space="preserve">the Company determined that is probable that the Agreement will be terminated and accrued an estimated settlement to KVK of $0.9 million, which is included in research and development in the unaudited condensed consolidated statement of operations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As of </w:t>
      </w:r>
      <w:r>
        <w:rPr>
          <w:rStyle w:val="Emphasis"/>
          <w:rFonts w:ascii="Times New Roman" w:hAnsi="Times New Roman"/>
          <w:caps w:val="false"/>
          <w:smallCaps w:val="false"/>
          <w:sz w:val="20"/>
        </w:rPr>
        <w:t xml:space="preserve"> December 31, 2022</w:t>
      </w:r>
      <w:r>
        <w:rPr>
          <w:rFonts w:ascii="Times New Roman" w:hAnsi="Times New Roman"/>
          <w:caps w:val="false"/>
          <w:smallCaps w:val="false"/>
          <w:sz w:val="20"/>
        </w:rPr>
        <w:t>, no accruals have been made related to commitments and contingencies.</w:t>
      </w:r>
    </w:p>
    <w:p>
      <w:pPr>
        <w:pStyle w:val="TextBody"/>
        <w:bidi w:val="0"/>
        <w:spacing w:before="0" w:after="0"/>
        <w:ind w:left="0" w:right="0" w:hanging="0"/>
        <w:jc w:val="both"/>
        <w:rPr/>
      </w:pPr>
      <w:r>
        <w:rPr/>
        <w:t> </w:t>
      </w:r>
    </w:p>
    <w:p>
      <w:pPr>
        <w:pStyle w:val="TextBody"/>
        <w:bidi w:val="0"/>
        <w:spacing w:before="0" w:after="0"/>
        <w:jc w:val="left"/>
        <w:rPr/>
      </w:pPr>
      <w:r>
        <w:rPr/>
        <w:t xml:space="preserve">  </w:t>
      </w:r>
    </w:p>
    <w:tbl>
      <w:tblPr>
        <w:tblW w:w="2335" w:type="dxa"/>
        <w:jc w:val="left"/>
        <w:tblInd w:w="0" w:type="dxa"/>
        <w:tblLayout w:type="fixed"/>
        <w:tblCellMar>
          <w:top w:w="0" w:type="dxa"/>
          <w:left w:w="0" w:type="dxa"/>
          <w:bottom w:w="0" w:type="dxa"/>
          <w:right w:w="0" w:type="dxa"/>
        </w:tblCellMar>
      </w:tblPr>
      <w:tblGrid>
        <w:gridCol w:w="245"/>
        <w:gridCol w:w="2090"/>
      </w:tblGrid>
      <w:tr>
        <w:trPr/>
        <w:tc>
          <w:tcPr>
            <w:tcW w:w="245" w:type="dxa"/>
            <w:tcBorders/>
            <w:vAlign w:val="center"/>
          </w:tcPr>
          <w:p>
            <w:pPr>
              <w:pStyle w:val="TableContents"/>
              <w:bidi w:val="0"/>
              <w:spacing w:before="0" w:after="283"/>
              <w:jc w:val="left"/>
              <w:rPr>
                <w:b/>
              </w:rPr>
            </w:pPr>
            <w:r>
              <w:rPr>
                <w:b/>
              </w:rPr>
              <w:t>E.</w:t>
            </w:r>
          </w:p>
        </w:tc>
        <w:tc>
          <w:tcPr>
            <w:tcW w:w="2090" w:type="dxa"/>
            <w:tcBorders/>
            <w:vAlign w:val="center"/>
          </w:tcPr>
          <w:p>
            <w:pPr>
              <w:pStyle w:val="TableContents"/>
              <w:bidi w:val="0"/>
              <w:spacing w:before="0" w:after="283"/>
              <w:jc w:val="left"/>
              <w:rPr>
                <w:b/>
              </w:rPr>
            </w:pPr>
            <w:r>
              <w:rPr>
                <w:b/>
              </w:rPr>
              <w:t>Stock and Warrants</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Authorized, Issued, and Outstanding Common Shares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As of </w:t>
      </w:r>
      <w:r>
        <w:rPr>
          <w:rStyle w:val="Emphasis"/>
          <w:rFonts w:ascii="Times New Roman;Times;serif" w:hAnsi="Times New Roman;Times;serif"/>
          <w:sz w:val="20"/>
        </w:rPr>
        <w:t>March 31, 2023</w:t>
      </w:r>
      <w:r>
        <w:rPr>
          <w:rFonts w:ascii="Times New Roman;Times;serif" w:hAnsi="Times New Roman;Times;serif"/>
          <w:sz w:val="20"/>
        </w:rPr>
        <w:t xml:space="preserve">, and </w:t>
      </w:r>
      <w:r>
        <w:rPr>
          <w:rStyle w:val="Emphasis"/>
          <w:rFonts w:ascii="Times New Roman;Times;serif" w:hAnsi="Times New Roman;Times;serif"/>
          <w:sz w:val="20"/>
        </w:rPr>
        <w:t>December 31, 2022</w:t>
      </w:r>
      <w:r>
        <w:rPr>
          <w:rFonts w:ascii="Times New Roman;Times;serif" w:hAnsi="Times New Roman;Times;serif"/>
          <w:sz w:val="20"/>
        </w:rPr>
        <w:t>, the Company had authorized shares of common stock of 250,000,000 shares. Of the authorized share</w:t>
      </w:r>
      <w:r>
        <w:rPr>
          <w:rFonts w:ascii="Times New Roman;Times;serif" w:hAnsi="Times New Roman;Times;serif"/>
          <w:sz w:val="20"/>
          <w:shd w:fill="FFFFFF" w:val="clear"/>
        </w:rPr>
        <w:t xml:space="preserve">s, 35,457,496 and </w:t>
      </w:r>
      <w:r>
        <w:rPr>
          <w:rStyle w:val="Emphasis"/>
          <w:rFonts w:ascii="Times New Roman;Times;serif" w:hAnsi="Times New Roman;Times;serif"/>
          <w:sz w:val="20"/>
          <w:shd w:fill="FFFFFF" w:val="clear"/>
        </w:rPr>
        <w:t>35</w:t>
      </w:r>
      <w:r>
        <w:rPr>
          <w:rFonts w:ascii="Times New Roman;Times;serif" w:hAnsi="Times New Roman;Times;serif"/>
          <w:sz w:val="20"/>
        </w:rPr>
        <w:t xml:space="preserve">,450,257 shares of common stock were issued as of </w:t>
      </w:r>
      <w:r>
        <w:rPr>
          <w:rStyle w:val="Emphasis"/>
          <w:rFonts w:ascii="Times New Roman;Times;serif" w:hAnsi="Times New Roman;Times;serif"/>
          <w:sz w:val="20"/>
        </w:rPr>
        <w:t xml:space="preserve">March 31, 2023, </w:t>
      </w:r>
      <w:r>
        <w:rPr>
          <w:rFonts w:ascii="Times New Roman;Times;serif" w:hAnsi="Times New Roman;Times;serif"/>
          <w:sz w:val="20"/>
        </w:rPr>
        <w:t xml:space="preserve">and </w:t>
      </w:r>
      <w:r>
        <w:rPr>
          <w:rStyle w:val="Emphasis"/>
          <w:rFonts w:ascii="Times New Roman;Times;serif" w:hAnsi="Times New Roman;Times;serif"/>
          <w:sz w:val="20"/>
        </w:rPr>
        <w:t xml:space="preserve">December 31, 2022, </w:t>
      </w:r>
      <w:r>
        <w:rPr>
          <w:rFonts w:ascii="Times New Roman;Times;serif" w:hAnsi="Times New Roman;Times;serif"/>
          <w:sz w:val="20"/>
        </w:rPr>
        <w:t>respectively, and</w:t>
      </w:r>
      <w:r>
        <w:rPr>
          <w:rFonts w:ascii="Times New Roman;Times;serif" w:hAnsi="Times New Roman;Times;serif"/>
          <w:sz w:val="20"/>
          <w:shd w:fill="FFFFFF" w:val="clear"/>
        </w:rPr>
        <w:t xml:space="preserve"> 33,881,804 an</w:t>
      </w:r>
      <w:r>
        <w:rPr>
          <w:rFonts w:ascii="Times New Roman;Times;serif" w:hAnsi="Times New Roman;Times;serif"/>
          <w:sz w:val="20"/>
        </w:rPr>
        <w:t xml:space="preserve">d 34,540,304 respectively shares of common stock were outstanding as of </w:t>
      </w:r>
      <w:r>
        <w:rPr>
          <w:rStyle w:val="Emphasis"/>
          <w:rFonts w:ascii="Times New Roman;Times;serif" w:hAnsi="Times New Roman;Times;serif"/>
          <w:sz w:val="20"/>
        </w:rPr>
        <w:t>March 31, 2023</w:t>
      </w:r>
      <w:r>
        <w:rPr>
          <w:rFonts w:ascii="Times New Roman;Times;serif" w:hAnsi="Times New Roman;Times;serif"/>
          <w:sz w:val="20"/>
        </w:rPr>
        <w:t xml:space="preserve">, and </w:t>
      </w:r>
      <w:r>
        <w:rPr>
          <w:rStyle w:val="Emphasis"/>
          <w:rFonts w:ascii="Times New Roman;Times;serif" w:hAnsi="Times New Roman;Times;serif"/>
          <w:sz w:val="20"/>
        </w:rPr>
        <w:t>December 31, 2022</w:t>
      </w:r>
      <w:r>
        <w:rPr>
          <w:rFonts w:ascii="Times New Roman;Times;serif" w:hAnsi="Times New Roman;Times;serif"/>
          <w:sz w:val="20"/>
        </w:rPr>
        <w:t>, respectively.</w:t>
      </w:r>
    </w:p>
    <w:p>
      <w:pPr>
        <w:pStyle w:val="TextBody"/>
        <w:bidi w:val="0"/>
        <w:spacing w:before="0" w:after="0"/>
        <w:ind w:left="0" w:right="0" w:hanging="0"/>
        <w:jc w:val="both"/>
        <w:rPr/>
      </w:pPr>
      <w:r>
        <w:rPr/>
        <w:t> </w:t>
      </w:r>
    </w:p>
    <w:p>
      <w:pPr>
        <w:pStyle w:val="TextBody"/>
        <w:bidi w:val="0"/>
        <w:spacing w:before="0" w:after="0"/>
        <w:ind w:left="0" w:right="0" w:hanging="0"/>
        <w:jc w:val="left"/>
        <w:rPr/>
      </w:pPr>
      <w:r>
        <w:rPr>
          <w:rFonts w:ascii="Times New Roman;Times;serif" w:hAnsi="Times New Roman;Times;serif"/>
          <w:sz w:val="20"/>
        </w:rPr>
        <w:t>As of </w:t>
      </w:r>
      <w:r>
        <w:rPr>
          <w:rStyle w:val="Emphasis"/>
          <w:rFonts w:ascii="Times New Roman;Times;serif" w:hAnsi="Times New Roman;Times;serif"/>
          <w:sz w:val="20"/>
        </w:rPr>
        <w:t xml:space="preserve"> March 31, 2023</w:t>
      </w:r>
      <w:r>
        <w:rPr>
          <w:rFonts w:ascii="Times New Roman;Times;serif" w:hAnsi="Times New Roman;Times;serif"/>
          <w:sz w:val="20"/>
        </w:rPr>
        <w:t xml:space="preserve"> and </w:t>
      </w:r>
      <w:r>
        <w:rPr>
          <w:rStyle w:val="Emphasis"/>
          <w:rFonts w:ascii="Times New Roman;Times;serif" w:hAnsi="Times New Roman;Times;serif"/>
          <w:sz w:val="20"/>
        </w:rPr>
        <w:t>December 31, 2022</w:t>
      </w:r>
      <w:r>
        <w:rPr>
          <w:rFonts w:ascii="Times New Roman;Times;serif" w:hAnsi="Times New Roman;Times;serif"/>
          <w:sz w:val="20"/>
        </w:rPr>
        <w:t>, the Company had reserved authorized shares of common stock for future issuance as follows:</w:t>
      </w:r>
    </w:p>
    <w:p>
      <w:pPr>
        <w:pStyle w:val="TextBody"/>
        <w:bidi w:val="0"/>
        <w:spacing w:before="0" w:after="283"/>
        <w:jc w:val="left"/>
        <w:rPr/>
      </w:pPr>
      <w:r>
        <w:rPr/>
        <w:t> </w:t>
      </w:r>
    </w:p>
    <w:tbl>
      <w:tblPr>
        <w:tblW w:w="8293" w:type="dxa"/>
        <w:jc w:val="left"/>
        <w:tblInd w:w="0" w:type="dxa"/>
        <w:tblLayout w:type="fixed"/>
        <w:tblCellMar>
          <w:top w:w="0" w:type="dxa"/>
          <w:left w:w="0" w:type="dxa"/>
          <w:bottom w:w="0" w:type="dxa"/>
          <w:right w:w="0" w:type="dxa"/>
        </w:tblCellMar>
      </w:tblPr>
      <w:tblGrid>
        <w:gridCol w:w="5105"/>
        <w:gridCol w:w="60"/>
        <w:gridCol w:w="79"/>
        <w:gridCol w:w="1260"/>
        <w:gridCol w:w="60"/>
        <w:gridCol w:w="60"/>
        <w:gridCol w:w="95"/>
        <w:gridCol w:w="1514"/>
        <w:gridCol w:w="60"/>
      </w:tblGrid>
      <w:tr>
        <w:trPr/>
        <w:tc>
          <w:tcPr>
            <w:tcW w:w="51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March 31, 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December 31, 2022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awards under equity incentive plans</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6,024,889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51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2,456,407</w:t>
            </w:r>
          </w:p>
        </w:tc>
        <w:tc>
          <w:tcPr>
            <w:tcW w:w="60" w:type="dxa"/>
            <w:tcBorders/>
            <w:shd w:fill="CCEEFF" w:val="cle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common stock warrants</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2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4,252,490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51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4,252,600</w:t>
            </w:r>
          </w:p>
        </w:tc>
        <w:tc>
          <w:tcPr>
            <w:tcW w:w="60" w:type="dxa"/>
            <w:tcBorders/>
            <w:shd w:fill="FFFFFF" w:val="clear"/>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Possible future issuances under equity incentive plans</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3,731,263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51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4,421,508</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510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Possible future issuances under employee stock purchase plans</w:t>
            </w:r>
          </w:p>
        </w:tc>
        <w:tc>
          <w:tcPr>
            <w:tcW w:w="60" w:type="dxa"/>
            <w:tcBorders/>
            <w:shd w:fill="FFFFFF" w:val="clear"/>
            <w:vAlign w:val="center"/>
          </w:tcPr>
          <w:p>
            <w:pPr>
              <w:pStyle w:val="TableContents"/>
              <w:bidi w:val="0"/>
              <w:spacing w:before="0" w:after="0"/>
              <w:ind w:left="0" w:right="0" w:hanging="0"/>
              <w:jc w:val="left"/>
              <w:rPr/>
            </w:pPr>
            <w:r>
              <w:rPr/>
              <w:t> </w:t>
            </w:r>
          </w:p>
        </w:tc>
        <w:tc>
          <w:tcPr>
            <w:tcW w:w="7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6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1,417,365</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51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1,417,365</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51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common shares reserved for future issuance</w:t>
            </w:r>
          </w:p>
        </w:tc>
        <w:tc>
          <w:tcPr>
            <w:tcW w:w="60" w:type="dxa"/>
            <w:tcBorders/>
            <w:shd w:fill="CCEEFF" w:val="clear"/>
            <w:vAlign w:val="center"/>
          </w:tcPr>
          <w:p>
            <w:pPr>
              <w:pStyle w:val="TableContents"/>
              <w:bidi w:val="0"/>
              <w:spacing w:before="0" w:after="283"/>
              <w:jc w:val="left"/>
              <w:rPr/>
            </w:pPr>
            <w:r>
              <w:rPr/>
              <w:t> </w:t>
            </w:r>
          </w:p>
        </w:tc>
        <w:tc>
          <w:tcPr>
            <w:tcW w:w="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15,426,007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5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12,547,880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Common Stock Activity</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 following table summarizes common stock activity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March 31, 2023</w:t>
      </w:r>
      <w:r>
        <w:rPr>
          <w:rStyle w:val="Emphasis"/>
          <w:rFonts w:ascii="Times New Roman;Times;serif" w:hAnsi="Times New Roman;Times;serif"/>
          <w:i w:val="false"/>
          <w:caps w:val="false"/>
          <w:smallCaps w:val="false"/>
          <w:sz w:val="20"/>
        </w:rPr>
        <w:t>:</w:t>
      </w:r>
    </w:p>
    <w:p>
      <w:pPr>
        <w:pStyle w:val="TextBody"/>
        <w:bidi w:val="0"/>
        <w:spacing w:before="0" w:after="0"/>
        <w:ind w:left="0" w:right="0" w:hanging="0"/>
        <w:jc w:val="both"/>
        <w:rPr/>
      </w:pPr>
      <w:r>
        <w:rPr/>
        <w:t> </w:t>
      </w:r>
    </w:p>
    <w:tbl>
      <w:tblPr>
        <w:tblW w:w="7754" w:type="dxa"/>
        <w:jc w:val="left"/>
        <w:tblInd w:w="0" w:type="dxa"/>
        <w:tblLayout w:type="fixed"/>
        <w:tblCellMar>
          <w:top w:w="0" w:type="dxa"/>
          <w:left w:w="0" w:type="dxa"/>
          <w:bottom w:w="0" w:type="dxa"/>
          <w:right w:w="0" w:type="dxa"/>
        </w:tblCellMar>
      </w:tblPr>
      <w:tblGrid>
        <w:gridCol w:w="5525"/>
        <w:gridCol w:w="60"/>
        <w:gridCol w:w="124"/>
        <w:gridCol w:w="1965"/>
        <w:gridCol w:w="80"/>
      </w:tblGrid>
      <w:tr>
        <w:trPr/>
        <w:tc>
          <w:tcPr>
            <w:tcW w:w="5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8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Shares of Common Stock</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January 1, 2023</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19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34,540,304</w:t>
            </w:r>
          </w:p>
        </w:tc>
        <w:tc>
          <w:tcPr>
            <w:tcW w:w="80" w:type="dxa"/>
            <w:tcBorders/>
            <w:shd w:fill="CCEEFF" w:val="clear"/>
            <w:vAlign w:val="center"/>
          </w:tcPr>
          <w:p>
            <w:pPr>
              <w:pStyle w:val="TableContents"/>
              <w:bidi w:val="0"/>
              <w:spacing w:before="0" w:after="283"/>
              <w:jc w:val="left"/>
              <w:rPr/>
            </w:pPr>
            <w:r>
              <w:rPr/>
              <w:t> </w:t>
            </w:r>
          </w:p>
        </w:tc>
      </w:tr>
      <w:tr>
        <w:trPr/>
        <w:tc>
          <w:tcPr>
            <w:tcW w:w="55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issued as compensation to third-parties</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196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7,129</w:t>
            </w:r>
          </w:p>
        </w:tc>
        <w:tc>
          <w:tcPr>
            <w:tcW w:w="80" w:type="dxa"/>
            <w:tcBorders/>
            <w:shd w:fill="FFFFFF" w:val="clear"/>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repurchased as a result of the Stock Repurchase Plan</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9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(665,739</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issued as a result of stock warrants exercised</w:t>
            </w:r>
          </w:p>
        </w:tc>
        <w:tc>
          <w:tcPr>
            <w:tcW w:w="60" w:type="dxa"/>
            <w:tcBorders/>
            <w:shd w:fill="FFFFFF" w:val="clear"/>
            <w:vAlign w:val="center"/>
          </w:tcPr>
          <w:p>
            <w:pPr>
              <w:pStyle w:val="TableContents"/>
              <w:bidi w:val="0"/>
              <w:spacing w:before="0" w:after="0"/>
              <w:ind w:left="0" w:right="0" w:hanging="0"/>
              <w:jc w:val="left"/>
              <w:rPr/>
            </w:pPr>
            <w:r>
              <w:rPr/>
              <w:t> </w:t>
            </w:r>
          </w:p>
        </w:tc>
        <w:tc>
          <w:tcPr>
            <w:tcW w:w="12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9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8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55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March 31, 2023</w:t>
            </w:r>
          </w:p>
        </w:tc>
        <w:tc>
          <w:tcPr>
            <w:tcW w:w="60" w:type="dxa"/>
            <w:tcBorders/>
            <w:shd w:fill="CCEEFF" w:val="clear"/>
            <w:vAlign w:val="center"/>
          </w:tcPr>
          <w:p>
            <w:pPr>
              <w:pStyle w:val="TableContents"/>
              <w:bidi w:val="0"/>
              <w:spacing w:before="0" w:after="283"/>
              <w:jc w:val="left"/>
              <w:rPr/>
            </w:pPr>
            <w:r>
              <w:rPr/>
              <w:t> </w:t>
            </w:r>
          </w:p>
        </w:tc>
        <w:tc>
          <w:tcPr>
            <w:tcW w:w="12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9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33,881,804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Authorized, Issued, and Outstanding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the Company had 10,000,000 shares of authorized preferred stock, </w:t>
      </w:r>
      <w:r>
        <w:rPr>
          <w:rStyle w:val="Emphasis"/>
          <w:rFonts w:ascii="Times New Roman" w:hAnsi="Times New Roman"/>
          <w:caps w:val="false"/>
          <w:smallCaps w:val="false"/>
          <w:sz w:val="20"/>
        </w:rPr>
        <w:t>none</w:t>
      </w:r>
      <w:r>
        <w:rPr>
          <w:rFonts w:ascii="Times New Roman" w:hAnsi="Times New Roman"/>
          <w:caps w:val="false"/>
          <w:smallCaps w:val="false"/>
          <w:sz w:val="20"/>
        </w:rPr>
        <w:t xml:space="preserve"> of which were designated, issued, or outstanding.    </w:t>
      </w:r>
    </w:p>
    <w:p>
      <w:pPr>
        <w:pStyle w:val="TextBody"/>
        <w:bidi w:val="0"/>
        <w:spacing w:before="0" w:after="0"/>
        <w:ind w:left="0" w:right="0" w:hanging="0"/>
        <w:jc w:val="left"/>
        <w:rPr>
          <w:color w:val="000000"/>
        </w:rPr>
      </w:pPr>
      <w:r>
        <w:rPr>
          <w:color w:val="000000"/>
        </w:rPr>
        <w:t> </w:t>
      </w:r>
    </w:p>
    <w:p>
      <w:pPr>
        <w:pStyle w:val="TextBody"/>
        <w:bidi w:val="0"/>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Warrants to Purchase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June 2014,</w:t>
      </w:r>
      <w:r>
        <w:rPr>
          <w:rFonts w:ascii="Times New Roman" w:hAnsi="Times New Roman"/>
          <w:caps w:val="false"/>
          <w:smallCaps w:val="false"/>
          <w:sz w:val="20"/>
        </w:rPr>
        <w:t> the Company entered into a multi-tranche credit facility (the "Deerfield Facility Agreement") with Deerfield Private Design Fund III, LP (“Deerfield”). The Company issued to Deerfield a warrant to purchase 120,192 shares of the Company's common stock, which is exercisable at $38.34 per share until </w:t>
      </w:r>
      <w:r>
        <w:rPr>
          <w:rStyle w:val="Emphasis"/>
          <w:rFonts w:ascii="Times New Roman" w:hAnsi="Times New Roman"/>
          <w:caps w:val="false"/>
          <w:smallCaps w:val="false"/>
          <w:sz w:val="20"/>
        </w:rPr>
        <w:t xml:space="preserve"> June 2,</w:t>
      </w:r>
      <w:r>
        <w:rPr>
          <w:rFonts w:ascii="Times New Roman" w:hAnsi="Times New Roman"/>
          <w:caps w:val="false"/>
          <w:smallCaps w:val="false"/>
          <w:sz w:val="20"/>
        </w:rPr>
        <w:t>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and Deerfield assigned this warrant to OTA LLC in </w:t>
      </w:r>
      <w:r>
        <w:rPr>
          <w:rStyle w:val="Emphasis"/>
          <w:rFonts w:ascii="Times New Roman" w:hAnsi="Times New Roman"/>
          <w:caps w:val="false"/>
          <w:smallCaps w:val="false"/>
          <w:sz w:val="20"/>
        </w:rPr>
        <w:t xml:space="preserve">December </w:t>
      </w:r>
      <w:r>
        <w:rPr>
          <w:rFonts w:ascii="Times New Roman" w:hAnsi="Times New Roman"/>
          <w:caps w:val="false"/>
          <w:smallCaps w:val="false"/>
          <w:sz w:val="20"/>
        </w:rPr>
        <w:t xml:space="preserve">of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“OTA Warrant”). This warrant qualifies as a participating security under ASC Topic </w:t>
      </w:r>
      <w:r>
        <w:rPr>
          <w:rStyle w:val="Emphasis"/>
          <w:rFonts w:ascii="Times New Roman" w:hAnsi="Times New Roman"/>
          <w:caps w:val="false"/>
          <w:smallCaps w:val="false"/>
          <w:sz w:val="20"/>
        </w:rPr>
        <w:t>260,</w:t>
      </w:r>
      <w:r>
        <w:rPr>
          <w:rFonts w:ascii="Times New Roman" w:hAnsi="Times New Roman"/>
          <w:caps w:val="false"/>
          <w:smallCaps w:val="false"/>
          <w:sz w:val="20"/>
        </w:rPr>
        <w:t> </w:t>
      </w:r>
      <w:r>
        <w:rPr>
          <w:rFonts w:ascii="Times New Roman" w:hAnsi="Times New Roman"/>
          <w:i/>
          <w:caps w:val="false"/>
          <w:smallCaps w:val="false"/>
          <w:sz w:val="20"/>
        </w:rPr>
        <w:t>Earnings per</w:t>
      </w:r>
      <w:r>
        <w:rPr>
          <w:rFonts w:ascii="Times New Roman" w:hAnsi="Times New Roman"/>
          <w:caps w:val="false"/>
          <w:smallCaps w:val="false"/>
          <w:sz w:val="20"/>
        </w:rPr>
        <w:t> </w:t>
      </w:r>
      <w:r>
        <w:rPr>
          <w:rFonts w:ascii="Times New Roman" w:hAnsi="Times New Roman"/>
          <w:i/>
          <w:caps w:val="false"/>
          <w:smallCaps w:val="false"/>
          <w:sz w:val="20"/>
        </w:rPr>
        <w:t>Share</w:t>
      </w:r>
      <w:r>
        <w:rPr>
          <w:rFonts w:ascii="Times New Roman" w:hAnsi="Times New Roman"/>
          <w:caps w:val="false"/>
          <w:smallCaps w:val="false"/>
          <w:sz w:val="20"/>
        </w:rPr>
        <w:t>, and is treated as such in the net loss per share calculation (Note H). If a Major Transaction occurs (as defined in the Deerfield Facility Agreement), OTA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require the Company to redeem the OTA Warrant for a cash amount equal to the Black-Scholes value of the portion of the OTA Warrant to be redeemed (the “Warrant Put Option”). The Company determined that the OTA Warrant should be recorded as a liability and stated at fair value at each reporting period. Changes to the fair value of the warrant liability are recorded through the unaudited condensed statements of operations as a fair value adjustment (Note 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Company issued to KVK a warrant to purchase up to 31,250 shares of common stock of the Company at an exercise price of $36.80 per share (the “KVK Warrant”). The KVK Warrant is initially </w:t>
      </w:r>
      <w:r>
        <w:rPr>
          <w:rStyle w:val="Emphasis"/>
          <w:rFonts w:ascii="Times New Roman" w:hAnsi="Times New Roman"/>
          <w:caps w:val="false"/>
          <w:smallCaps w:val="false"/>
          <w:sz w:val="20"/>
        </w:rPr>
        <w:t>not</w:t>
      </w:r>
      <w:r>
        <w:rPr>
          <w:rFonts w:ascii="Times New Roman" w:hAnsi="Times New Roman"/>
          <w:caps w:val="false"/>
          <w:smallCaps w:val="false"/>
          <w:sz w:val="20"/>
        </w:rPr>
        <w:t> exercisable for any shares of common stock. Upon the achievement of each of </w:t>
      </w:r>
      <w:r>
        <w:rPr>
          <w:rStyle w:val="Emphasis"/>
          <w:rFonts w:ascii="Times New Roman" w:hAnsi="Times New Roman"/>
          <w:caps w:val="false"/>
          <w:smallCaps w:val="false"/>
          <w:sz w:val="20"/>
        </w:rPr>
        <w:t>four</w:t>
      </w:r>
      <w:r>
        <w:rPr>
          <w:rFonts w:ascii="Times New Roman" w:hAnsi="Times New Roman"/>
          <w:caps w:val="false"/>
          <w:smallCaps w:val="false"/>
          <w:sz w:val="20"/>
        </w:rPr>
        <w:t> specified milestones under the KVK Warrant, the KVK Warrant will become exercisable. The exercise price and the number and type of shares underlying the KVK Warrant are subject to adjustment in the event of specified events, including a reclassification of the Company’s common stock, a subdivision or combination of the Company’s common stock, or in the event of specified dividend payments. The KVK Warrant is exercisable until </w:t>
      </w:r>
      <w:r>
        <w:rPr>
          <w:rStyle w:val="Emphasis"/>
          <w:rFonts w:ascii="Times New Roman" w:hAnsi="Times New Roman"/>
          <w:caps w:val="false"/>
          <w:smallCaps w:val="false"/>
          <w:sz w:val="20"/>
        </w:rPr>
        <w:t xml:space="preserve"> October 24,</w:t>
      </w:r>
      <w:r>
        <w:rPr>
          <w:rFonts w:ascii="Times New Roman" w:hAnsi="Times New Roman"/>
          <w:caps w:val="false"/>
          <w:smallCaps w:val="false"/>
          <w:sz w:val="20"/>
        </w:rPr>
        <w:t> </w:t>
      </w:r>
      <w:r>
        <w:rPr>
          <w:rStyle w:val="Emphasis"/>
          <w:rFonts w:ascii="Times New Roman" w:hAnsi="Times New Roman"/>
          <w:caps w:val="false"/>
          <w:smallCaps w:val="false"/>
          <w:sz w:val="20"/>
        </w:rPr>
        <w:t>2023.The</w:t>
      </w:r>
      <w:r>
        <w:rPr>
          <w:rFonts w:ascii="Times New Roman" w:hAnsi="Times New Roman"/>
          <w:caps w:val="false"/>
          <w:smallCaps w:val="false"/>
          <w:sz w:val="20"/>
        </w:rPr>
        <w:t xml:space="preserve"> Company determined that the KVK Warrant qualifies as a derivative under ASC </w:t>
      </w:r>
      <w:r>
        <w:rPr>
          <w:rStyle w:val="Emphasis"/>
          <w:rFonts w:ascii="Times New Roman" w:hAnsi="Times New Roman"/>
          <w:caps w:val="false"/>
          <w:smallCaps w:val="false"/>
          <w:sz w:val="20"/>
        </w:rPr>
        <w:t>815</w:t>
      </w:r>
      <w:r>
        <w:rPr>
          <w:rFonts w:ascii="Times New Roman" w:hAnsi="Times New Roman"/>
          <w:caps w:val="false"/>
          <w:smallCaps w:val="false"/>
          <w:sz w:val="20"/>
        </w:rPr>
        <w:t> and should be recorded as a liability and stated at fair value each reporting period. The Company calculates the fair value of the KVK Warrant using a probability-weighted Black-Scholes option pricing model. Changes in fair value resulting from changes in the inputs to the Black Scholes model are accounted for as changes in the fair value of the derivative under ASC </w:t>
      </w:r>
      <w:r>
        <w:rPr>
          <w:rStyle w:val="Emphasis"/>
          <w:rFonts w:ascii="Times New Roman" w:hAnsi="Times New Roman"/>
          <w:caps w:val="false"/>
          <w:smallCaps w:val="false"/>
          <w:sz w:val="20"/>
        </w:rPr>
        <w:t>815</w:t>
      </w:r>
      <w:r>
        <w:rPr>
          <w:rFonts w:ascii="Times New Roman" w:hAnsi="Times New Roman"/>
          <w:caps w:val="false"/>
          <w:smallCaps w:val="false"/>
          <w:sz w:val="20"/>
        </w:rPr>
        <w:t> and are recorded as fair value adjustment related to derivative and warrant liability in the unaudited condensed consolidated statements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January 12,</w:t>
      </w:r>
      <w:r>
        <w:rPr>
          <w:rFonts w:ascii="Times New Roman" w:hAnsi="Times New Roman"/>
          <w:caps w:val="false"/>
          <w:smallCaps w:val="false"/>
          <w:sz w:val="20"/>
        </w:rPr>
        <w:t>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the Company issued warrants to purchase 12,078,361 shares of the Company’s common stock (collectively, the “Offering Warrants”) in the Public Offering. The Offering Warrants were immediately exercisable and expire on the fifth anniversary of their issuance date, at an exercise price per share of common stock equal to $6.50 per share. The Offering Warrants meet the equity classification requirements and thus are recorded in additional paid-in capital on the unaudited condensed consolidated balance sheets. As of </w:t>
      </w:r>
      <w:r>
        <w:rPr>
          <w:rStyle w:val="Emphasis"/>
          <w:rFonts w:ascii="Times New Roman" w:hAnsi="Times New Roman"/>
          <w:caps w:val="false"/>
          <w:smallCaps w:val="false"/>
          <w:sz w:val="20"/>
        </w:rPr>
        <w:t>March 31, 20</w:t>
      </w:r>
      <w:r>
        <w:rPr>
          <w:rStyle w:val="Emphasis"/>
          <w:rFonts w:ascii="Times New Roman" w:hAnsi="Times New Roman"/>
          <w:caps w:val="false"/>
          <w:smallCaps w:val="false"/>
          <w:sz w:val="20"/>
          <w:shd w:fill="FFFFFF" w:val="clear"/>
        </w:rPr>
        <w:t>23,</w:t>
      </w:r>
      <w:r>
        <w:rPr>
          <w:rFonts w:ascii="Times New Roman" w:hAnsi="Times New Roman"/>
          <w:caps w:val="false"/>
          <w:smallCaps w:val="false"/>
          <w:sz w:val="20"/>
          <w:shd w:fill="FFFFFF" w:val="clear"/>
        </w:rPr>
        <w:t> 3,461,968 Offer</w:t>
      </w:r>
      <w:r>
        <w:rPr>
          <w:rFonts w:ascii="Times New Roman" w:hAnsi="Times New Roman"/>
          <w:caps w:val="false"/>
          <w:smallCaps w:val="false"/>
          <w:sz w:val="20"/>
        </w:rPr>
        <w:t>ing Warrants have been exercised fo</w:t>
      </w:r>
      <w:r>
        <w:rPr>
          <w:rFonts w:ascii="Times New Roman" w:hAnsi="Times New Roman"/>
          <w:caps w:val="false"/>
          <w:smallCaps w:val="false"/>
          <w:sz w:val="20"/>
          <w:shd w:fill="FFFFFF" w:val="clear"/>
        </w:rPr>
        <w:t>r 3,030,991 sha</w:t>
      </w:r>
      <w:r>
        <w:rPr>
          <w:rFonts w:ascii="Times New Roman" w:hAnsi="Times New Roman"/>
          <w:caps w:val="false"/>
          <w:smallCaps w:val="false"/>
          <w:sz w:val="20"/>
        </w:rPr>
        <w:t>res of common stock and gross proceeds of approximately $16.9 million.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January 12,</w:t>
      </w:r>
      <w:r>
        <w:rPr>
          <w:rFonts w:ascii="Times New Roman" w:hAnsi="Times New Roman"/>
          <w:caps w:val="false"/>
          <w:smallCaps w:val="false"/>
          <w:sz w:val="20"/>
        </w:rPr>
        <w:t> </w:t>
      </w:r>
      <w:r>
        <w:rPr>
          <w:rStyle w:val="Emphasis"/>
          <w:rFonts w:ascii="Times New Roman" w:hAnsi="Times New Roman"/>
          <w:caps w:val="false"/>
          <w:smallCaps w:val="false"/>
          <w:sz w:val="20"/>
        </w:rPr>
        <w:t>2021,</w:t>
      </w:r>
      <w:r>
        <w:rPr>
          <w:rFonts w:ascii="Times New Roman" w:hAnsi="Times New Roman"/>
          <w:caps w:val="false"/>
          <w:smallCaps w:val="false"/>
          <w:sz w:val="20"/>
        </w:rPr>
        <w:t> the Company issued a warrant to Roth Capital Partners ("Roth") to purchase 806,932 shares of the Company’s common stock and the exercise price is $8.125 per share. In connection with the closing of the Roth's partial exercise of its over-allotment option, on </w:t>
      </w:r>
      <w:r>
        <w:rPr>
          <w:rStyle w:val="Emphasis"/>
          <w:rFonts w:ascii="Times New Roman" w:hAnsi="Times New Roman"/>
          <w:caps w:val="false"/>
          <w:smallCaps w:val="false"/>
          <w:sz w:val="20"/>
        </w:rPr>
        <w:t xml:space="preserve"> February 3, 2021, </w:t>
      </w:r>
      <w:r>
        <w:rPr>
          <w:rFonts w:ascii="Times New Roman" w:hAnsi="Times New Roman"/>
          <w:caps w:val="false"/>
          <w:smallCaps w:val="false"/>
          <w:sz w:val="20"/>
        </w:rPr>
        <w:t xml:space="preserve">Roth was issued an additional warrant to purchase 18,702 shares of common stock. As of </w:t>
      </w:r>
      <w:r>
        <w:rPr>
          <w:rStyle w:val="Emphasis"/>
          <w:rFonts w:ascii="Times New Roman" w:hAnsi="Times New Roman"/>
          <w:caps w:val="false"/>
          <w:smallCaps w:val="false"/>
          <w:sz w:val="20"/>
        </w:rPr>
        <w:t>March 31, 2023, </w:t>
      </w:r>
      <w:r>
        <w:rPr>
          <w:rFonts w:ascii="Times New Roman" w:hAnsi="Times New Roman"/>
          <w:caps w:val="false"/>
          <w:smallCaps w:val="false"/>
          <w:sz w:val="20"/>
        </w:rPr>
        <w:t>400,000 of these warrants have been exercised for 400,000 shares of common stock and gross proceeds of approximately $3.3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January 2021</w:t>
      </w:r>
      <w:r>
        <w:rPr>
          <w:rFonts w:ascii="Times New Roman" w:hAnsi="Times New Roman"/>
          <w:caps w:val="false"/>
          <w:smallCaps w:val="false"/>
          <w:sz w:val="20"/>
        </w:rPr>
        <w:t> </w:t>
      </w:r>
      <w:r>
        <w:rPr>
          <w:rFonts w:ascii="Times New Roman" w:hAnsi="Times New Roman"/>
          <w:b/>
          <w:caps w:val="false"/>
          <w:smallCaps w:val="false"/>
          <w:sz w:val="20"/>
        </w:rPr>
        <w:t>Warrant Exercise Inducement Letters and Issuance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January 26, 2021, </w:t>
      </w:r>
      <w:r>
        <w:rPr>
          <w:rFonts w:ascii="Times New Roman" w:hAnsi="Times New Roman"/>
          <w:caps w:val="false"/>
          <w:smallCaps w:val="false"/>
          <w:sz w:val="20"/>
        </w:rPr>
        <w:t>the Company entered into warrant exercise inducement offer letters (</w:t>
      </w:r>
      <w:r>
        <w:rPr>
          <w:rStyle w:val="Emphasis"/>
          <w:rFonts w:ascii="Times New Roman" w:hAnsi="Times New Roman"/>
          <w:caps w:val="false"/>
          <w:smallCaps w:val="false"/>
          <w:sz w:val="20"/>
        </w:rPr>
        <w:t xml:space="preserve"> “January 2021 </w:t>
      </w:r>
      <w:r>
        <w:rPr>
          <w:rFonts w:ascii="Times New Roman" w:hAnsi="Times New Roman"/>
          <w:caps w:val="false"/>
          <w:smallCaps w:val="false"/>
          <w:sz w:val="20"/>
        </w:rPr>
        <w:t>Inducement Transaction”) with certain holders of warrants issued in the Public Offering (the </w:t>
      </w:r>
      <w:r>
        <w:rPr>
          <w:rStyle w:val="Emphasis"/>
          <w:rFonts w:ascii="Times New Roman" w:hAnsi="Times New Roman"/>
          <w:caps w:val="false"/>
          <w:smallCaps w:val="false"/>
          <w:sz w:val="20"/>
        </w:rPr>
        <w:t xml:space="preserve"> “January 2021 </w:t>
      </w:r>
      <w:r>
        <w:rPr>
          <w:rFonts w:ascii="Times New Roman" w:hAnsi="Times New Roman"/>
          <w:caps w:val="false"/>
          <w:smallCaps w:val="false"/>
          <w:sz w:val="20"/>
        </w:rPr>
        <w:t xml:space="preserve">Inducement Warrants”) to purchase up to 7,944,430 shares of the Company’s common stock (the </w:t>
      </w:r>
      <w:r>
        <w:rPr>
          <w:rStyle w:val="Emphasis"/>
          <w:rFonts w:ascii="Times New Roman" w:hAnsi="Times New Roman"/>
          <w:caps w:val="false"/>
          <w:smallCaps w:val="false"/>
          <w:sz w:val="20"/>
        </w:rPr>
        <w:t xml:space="preserve">"January 2021 </w:t>
      </w:r>
      <w:r>
        <w:rPr>
          <w:rFonts w:ascii="Times New Roman" w:hAnsi="Times New Roman"/>
          <w:caps w:val="false"/>
          <w:smallCaps w:val="false"/>
          <w:sz w:val="20"/>
        </w:rPr>
        <w:t>Inducement Warrants"). The </w:t>
      </w:r>
      <w:r>
        <w:rPr>
          <w:rStyle w:val="Emphasis"/>
          <w:rFonts w:ascii="Times New Roman" w:hAnsi="Times New Roman"/>
          <w:caps w:val="false"/>
          <w:smallCaps w:val="false"/>
          <w:sz w:val="20"/>
        </w:rPr>
        <w:t xml:space="preserve"> January 2021 </w:t>
      </w:r>
      <w:r>
        <w:rPr>
          <w:rFonts w:ascii="Times New Roman" w:hAnsi="Times New Roman"/>
          <w:caps w:val="false"/>
          <w:smallCaps w:val="false"/>
          <w:sz w:val="20"/>
        </w:rPr>
        <w:t xml:space="preserve">Inducement Warrants were immediately exercisable and expire on the fifth anniversary of their issuance date, at an exercise price per share of common stock equal to $6.36 per share. As of </w:t>
      </w:r>
      <w:r>
        <w:rPr>
          <w:rStyle w:val="Emphasis"/>
          <w:rFonts w:ascii="Times New Roman" w:hAnsi="Times New Roman"/>
          <w:caps w:val="false"/>
          <w:smallCaps w:val="false"/>
          <w:sz w:val="20"/>
        </w:rPr>
        <w:t>March 31, 2023, </w:t>
      </w:r>
      <w:r>
        <w:rPr>
          <w:rFonts w:ascii="Times New Roman" w:hAnsi="Times New Roman"/>
          <w:caps w:val="false"/>
          <w:smallCaps w:val="false"/>
          <w:sz w:val="20"/>
        </w:rPr>
        <w:t>1,676,921 </w:t>
      </w:r>
      <w:r>
        <w:rPr>
          <w:rStyle w:val="Emphasis"/>
          <w:rFonts w:ascii="Times New Roman" w:hAnsi="Times New Roman"/>
          <w:caps w:val="false"/>
          <w:smallCaps w:val="false"/>
          <w:sz w:val="20"/>
        </w:rPr>
        <w:t xml:space="preserve"> January 2021 </w:t>
      </w:r>
      <w:r>
        <w:rPr>
          <w:rFonts w:ascii="Times New Roman" w:hAnsi="Times New Roman"/>
          <w:caps w:val="false"/>
          <w:smallCaps w:val="false"/>
          <w:sz w:val="20"/>
        </w:rPr>
        <w:t>Inducement Warrants have been exercised for 1,676,921 shares of common stock and gross proceeds of approximately $10.7 million.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Emphasis"/>
          <w:rFonts w:ascii="Times New Roman" w:hAnsi="Times New Roman"/>
          <w:b/>
          <w:caps w:val="false"/>
          <w:smallCaps w:val="false"/>
          <w:sz w:val="20"/>
        </w:rPr>
        <w:t>June 2021</w:t>
      </w:r>
      <w:r>
        <w:rPr>
          <w:rFonts w:ascii="Times New Roman" w:hAnsi="Times New Roman"/>
          <w:caps w:val="false"/>
          <w:smallCaps w:val="false"/>
          <w:sz w:val="20"/>
        </w:rPr>
        <w:t> </w:t>
      </w:r>
      <w:r>
        <w:rPr>
          <w:rFonts w:ascii="Times New Roman" w:hAnsi="Times New Roman"/>
          <w:b/>
          <w:caps w:val="false"/>
          <w:smallCaps w:val="false"/>
          <w:sz w:val="20"/>
        </w:rPr>
        <w:t>Warrant Exercise Inducement Letters and Issuance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June 18, 2021, </w:t>
      </w:r>
      <w:r>
        <w:rPr>
          <w:rFonts w:ascii="Times New Roman" w:hAnsi="Times New Roman"/>
          <w:caps w:val="false"/>
          <w:smallCaps w:val="false"/>
          <w:sz w:val="20"/>
        </w:rPr>
        <w:t>the Company entered into warrant exercise inducement offer letters ( </w:t>
      </w:r>
      <w:r>
        <w:rPr>
          <w:rStyle w:val="Emphasis"/>
          <w:rFonts w:ascii="Times New Roman" w:hAnsi="Times New Roman"/>
          <w:caps w:val="false"/>
          <w:smallCaps w:val="false"/>
          <w:sz w:val="20"/>
        </w:rPr>
        <w:t xml:space="preserve"> “June 2021 </w:t>
      </w:r>
      <w:r>
        <w:rPr>
          <w:rFonts w:ascii="Times New Roman" w:hAnsi="Times New Roman"/>
          <w:caps w:val="false"/>
          <w:smallCaps w:val="false"/>
          <w:sz w:val="20"/>
        </w:rPr>
        <w:t>Inducement Transaction”) with certain holders of warrants issued in the </w:t>
      </w:r>
      <w:r>
        <w:rPr>
          <w:rStyle w:val="Emphasis"/>
          <w:rFonts w:ascii="Times New Roman" w:hAnsi="Times New Roman"/>
          <w:caps w:val="false"/>
          <w:smallCaps w:val="false"/>
          <w:sz w:val="20"/>
        </w:rPr>
        <w:t xml:space="preserve"> January 2021 </w:t>
      </w:r>
      <w:r>
        <w:rPr>
          <w:rFonts w:ascii="Times New Roman" w:hAnsi="Times New Roman"/>
          <w:caps w:val="false"/>
          <w:smallCaps w:val="false"/>
          <w:sz w:val="20"/>
        </w:rPr>
        <w:t>Inducement Transaction discussed above (the </w:t>
      </w:r>
      <w:r>
        <w:rPr>
          <w:rStyle w:val="Emphasis"/>
          <w:rFonts w:ascii="Times New Roman" w:hAnsi="Times New Roman"/>
          <w:caps w:val="false"/>
          <w:smallCaps w:val="false"/>
          <w:sz w:val="20"/>
        </w:rPr>
        <w:t xml:space="preserve"> "January 2021 </w:t>
      </w:r>
      <w:r>
        <w:rPr>
          <w:rFonts w:ascii="Times New Roman" w:hAnsi="Times New Roman"/>
          <w:caps w:val="false"/>
          <w:smallCaps w:val="false"/>
          <w:sz w:val="20"/>
        </w:rPr>
        <w:t>Inducement Warrants") pursuant to which such holders agreed to exercise for cash their </w:t>
      </w:r>
      <w:r>
        <w:rPr>
          <w:rStyle w:val="Emphasis"/>
          <w:rFonts w:ascii="Times New Roman" w:hAnsi="Times New Roman"/>
          <w:caps w:val="false"/>
          <w:smallCaps w:val="false"/>
          <w:sz w:val="20"/>
        </w:rPr>
        <w:t xml:space="preserve"> January 2021 </w:t>
      </w:r>
      <w:r>
        <w:rPr>
          <w:rFonts w:ascii="Times New Roman" w:hAnsi="Times New Roman"/>
          <w:caps w:val="false"/>
          <w:smallCaps w:val="false"/>
          <w:sz w:val="20"/>
        </w:rPr>
        <w:t>Inducement Warrants to purchase 6,117,509 shares of the Company’s common stock in exchange for the Company’s agreement to issue new warrants to purchase up to 1,529,379 shares of the Company's common stock (the </w:t>
      </w:r>
      <w:r>
        <w:rPr>
          <w:rStyle w:val="Emphasis"/>
          <w:rFonts w:ascii="Times New Roman" w:hAnsi="Times New Roman"/>
          <w:caps w:val="false"/>
          <w:smallCaps w:val="false"/>
          <w:sz w:val="20"/>
        </w:rPr>
        <w:t xml:space="preserve"> “June 2021 </w:t>
      </w:r>
      <w:r>
        <w:rPr>
          <w:rFonts w:ascii="Times New Roman" w:hAnsi="Times New Roman"/>
          <w:caps w:val="false"/>
          <w:smallCaps w:val="false"/>
          <w:sz w:val="20"/>
        </w:rPr>
        <w:t>Inducement Warrants”) on substantially the same terms as the </w:t>
      </w:r>
      <w:r>
        <w:rPr>
          <w:rStyle w:val="Emphasis"/>
          <w:rFonts w:ascii="Times New Roman" w:hAnsi="Times New Roman"/>
          <w:caps w:val="false"/>
          <w:smallCaps w:val="false"/>
          <w:sz w:val="20"/>
        </w:rPr>
        <w:t xml:space="preserve"> January 2021 </w:t>
      </w:r>
      <w:r>
        <w:rPr>
          <w:rFonts w:ascii="Times New Roman" w:hAnsi="Times New Roman"/>
          <w:caps w:val="false"/>
          <w:smallCaps w:val="false"/>
          <w:sz w:val="20"/>
        </w:rPr>
        <w:t>Inducement Warrants. The </w:t>
      </w:r>
      <w:r>
        <w:rPr>
          <w:rStyle w:val="Emphasis"/>
          <w:rFonts w:ascii="Times New Roman" w:hAnsi="Times New Roman"/>
          <w:caps w:val="false"/>
          <w:smallCaps w:val="false"/>
          <w:sz w:val="20"/>
        </w:rPr>
        <w:t xml:space="preserve"> June 2021 </w:t>
      </w:r>
      <w:r>
        <w:rPr>
          <w:rFonts w:ascii="Times New Roman" w:hAnsi="Times New Roman"/>
          <w:caps w:val="false"/>
          <w:smallCaps w:val="false"/>
          <w:sz w:val="20"/>
        </w:rPr>
        <w:t>Inducement Warrants were immediately exercisable and expire on </w:t>
      </w:r>
      <w:r>
        <w:rPr>
          <w:rStyle w:val="Emphasis"/>
          <w:rFonts w:ascii="Times New Roman" w:hAnsi="Times New Roman"/>
          <w:caps w:val="false"/>
          <w:smallCaps w:val="false"/>
          <w:sz w:val="20"/>
        </w:rPr>
        <w:t xml:space="preserve"> December 31, 2026, </w:t>
      </w:r>
      <w:r>
        <w:rPr>
          <w:rFonts w:ascii="Times New Roman" w:hAnsi="Times New Roman"/>
          <w:caps w:val="false"/>
          <w:smallCaps w:val="false"/>
          <w:sz w:val="20"/>
        </w:rPr>
        <w:t xml:space="preserve">at an exercise price per share of common stock equal to $16.50 per share. As of </w:t>
      </w:r>
      <w:r>
        <w:rPr>
          <w:rStyle w:val="Emphasis"/>
          <w:rFonts w:ascii="Times New Roman" w:hAnsi="Times New Roman"/>
          <w:caps w:val="false"/>
          <w:smallCaps w:val="false"/>
          <w:sz w:val="20"/>
        </w:rPr>
        <w:t>March 31, 2023, no</w:t>
      </w:r>
      <w:r>
        <w:rPr>
          <w:rFonts w:ascii="Times New Roman" w:hAnsi="Times New Roman"/>
          <w:caps w:val="false"/>
          <w:smallCaps w:val="false"/>
          <w:sz w:val="20"/>
        </w:rPr>
        <w:t> </w:t>
      </w:r>
      <w:r>
        <w:rPr>
          <w:rStyle w:val="Emphasis"/>
          <w:rFonts w:ascii="Times New Roman" w:hAnsi="Times New Roman"/>
          <w:caps w:val="false"/>
          <w:smallCaps w:val="false"/>
          <w:sz w:val="20"/>
        </w:rPr>
        <w:t xml:space="preserve"> June 2021 </w:t>
      </w:r>
      <w:r>
        <w:rPr>
          <w:rFonts w:ascii="Times New Roman" w:hAnsi="Times New Roman"/>
          <w:caps w:val="false"/>
          <w:smallCaps w:val="false"/>
          <w:sz w:val="20"/>
        </w:rPr>
        <w:t>Inducement Warrants have been exercised.</w:t>
      </w:r>
    </w:p>
    <w:p>
      <w:pPr>
        <w:pStyle w:val="TextBody"/>
        <w:bidi w:val="0"/>
        <w:spacing w:before="0" w:after="0"/>
        <w:jc w:val="left"/>
        <w:rPr/>
      </w:pPr>
      <w:r>
        <w:rPr/>
        <w:t xml:space="preserve">  </w:t>
      </w:r>
    </w:p>
    <w:tbl>
      <w:tblPr>
        <w:tblW w:w="3040" w:type="dxa"/>
        <w:jc w:val="left"/>
        <w:tblInd w:w="0" w:type="dxa"/>
        <w:tblLayout w:type="fixed"/>
        <w:tblCellMar>
          <w:top w:w="0" w:type="dxa"/>
          <w:left w:w="0" w:type="dxa"/>
          <w:bottom w:w="0" w:type="dxa"/>
          <w:right w:w="0" w:type="dxa"/>
        </w:tblCellMar>
      </w:tblPr>
      <w:tblGrid>
        <w:gridCol w:w="230"/>
        <w:gridCol w:w="2810"/>
      </w:tblGrid>
      <w:tr>
        <w:trPr/>
        <w:tc>
          <w:tcPr>
            <w:tcW w:w="230" w:type="dxa"/>
            <w:tcBorders/>
            <w:vAlign w:val="center"/>
          </w:tcPr>
          <w:p>
            <w:pPr>
              <w:pStyle w:val="TableContents"/>
              <w:bidi w:val="0"/>
              <w:spacing w:before="0" w:after="283"/>
              <w:jc w:val="left"/>
              <w:rPr>
                <w:b/>
              </w:rPr>
            </w:pPr>
            <w:r>
              <w:rPr>
                <w:b/>
              </w:rPr>
              <w:t>F.</w:t>
            </w:r>
          </w:p>
        </w:tc>
        <w:tc>
          <w:tcPr>
            <w:tcW w:w="2810" w:type="dxa"/>
            <w:tcBorders/>
            <w:vAlign w:val="center"/>
          </w:tcPr>
          <w:p>
            <w:pPr>
              <w:pStyle w:val="TableContents"/>
              <w:bidi w:val="0"/>
              <w:spacing w:before="0" w:after="283"/>
              <w:jc w:val="left"/>
              <w:rPr>
                <w:b/>
              </w:rPr>
            </w:pPr>
            <w:r>
              <w:rPr>
                <w:b/>
              </w:rPr>
              <w:t>Stock-Based Compensation</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maintains a stock-based compensation plan (the “Incentive Stock Plan”) that governs stock awards made to employees and directors prior to completion of the IPO.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November 2014, </w:t>
      </w:r>
      <w:r>
        <w:rPr>
          <w:rFonts w:ascii="Times New Roman" w:hAnsi="Times New Roman"/>
          <w:caps w:val="false"/>
          <w:smallCaps w:val="false"/>
          <w:sz w:val="20"/>
        </w:rPr>
        <w:t xml:space="preserve">the Board of Directors of the Company ("the Board"), and in </w:t>
      </w:r>
      <w:r>
        <w:rPr>
          <w:rStyle w:val="Emphasis"/>
          <w:rFonts w:ascii="Times New Roman" w:hAnsi="Times New Roman"/>
          <w:caps w:val="false"/>
          <w:smallCaps w:val="false"/>
          <w:sz w:val="20"/>
        </w:rPr>
        <w:t>April 2015, </w:t>
      </w:r>
      <w:r>
        <w:rPr>
          <w:rFonts w:ascii="Times New Roman" w:hAnsi="Times New Roman"/>
          <w:caps w:val="false"/>
          <w:smallCaps w:val="false"/>
          <w:sz w:val="20"/>
        </w:rPr>
        <w:t>the Company’s stockholders, approved the Company’s </w:t>
      </w:r>
      <w:r>
        <w:rPr>
          <w:rStyle w:val="Emphasis"/>
          <w:rFonts w:ascii="Times New Roman" w:hAnsi="Times New Roman"/>
          <w:caps w:val="false"/>
          <w:smallCaps w:val="false"/>
          <w:sz w:val="20"/>
        </w:rPr>
        <w:t>2014</w:t>
      </w:r>
      <w:r>
        <w:rPr>
          <w:rFonts w:ascii="Times New Roman" w:hAnsi="Times New Roman"/>
          <w:caps w:val="false"/>
          <w:smallCaps w:val="false"/>
          <w:sz w:val="20"/>
        </w:rPr>
        <w:t> Equity Incentive Plan (the </w:t>
      </w:r>
      <w:r>
        <w:rPr>
          <w:rStyle w:val="Emphasis"/>
          <w:rFonts w:ascii="Times New Roman" w:hAnsi="Times New Roman"/>
          <w:caps w:val="false"/>
          <w:smallCaps w:val="false"/>
          <w:sz w:val="20"/>
        </w:rPr>
        <w:t>“2014</w:t>
      </w:r>
      <w:r>
        <w:rPr>
          <w:rFonts w:ascii="Times New Roman" w:hAnsi="Times New Roman"/>
          <w:caps w:val="false"/>
          <w:smallCaps w:val="false"/>
          <w:sz w:val="20"/>
        </w:rPr>
        <w:t> Plan”), which became effective in </w:t>
      </w:r>
      <w:r>
        <w:rPr>
          <w:rStyle w:val="Emphasis"/>
          <w:rFonts w:ascii="Times New Roman" w:hAnsi="Times New Roman"/>
          <w:caps w:val="false"/>
          <w:smallCaps w:val="false"/>
          <w:sz w:val="20"/>
        </w:rPr>
        <w:t xml:space="preserve"> April 2015. </w:t>
      </w:r>
      <w:r>
        <w:rPr>
          <w:rFonts w:ascii="Times New Roman" w:hAnsi="Times New Roman"/>
          <w:caps w:val="false"/>
          <w:smallCaps w:val="false"/>
          <w:sz w:val="20"/>
        </w:rPr>
        <w:t>The </w:t>
      </w:r>
      <w:r>
        <w:rPr>
          <w:rStyle w:val="Emphasis"/>
          <w:rFonts w:ascii="Times New Roman" w:hAnsi="Times New Roman"/>
          <w:caps w:val="false"/>
          <w:smallCaps w:val="false"/>
          <w:sz w:val="20"/>
        </w:rPr>
        <w:t>2014</w:t>
      </w:r>
      <w:r>
        <w:rPr>
          <w:rFonts w:ascii="Times New Roman" w:hAnsi="Times New Roman"/>
          <w:caps w:val="false"/>
          <w:smallCaps w:val="false"/>
          <w:sz w:val="20"/>
        </w:rPr>
        <w:t> Plan provides for the grant of stock options, other forms of equity compensation, and performance cash awards. In </w:t>
      </w:r>
      <w:r>
        <w:rPr>
          <w:rStyle w:val="Emphasis"/>
          <w:rFonts w:ascii="Times New Roman" w:hAnsi="Times New Roman"/>
          <w:caps w:val="false"/>
          <w:smallCaps w:val="false"/>
          <w:sz w:val="20"/>
        </w:rPr>
        <w:t xml:space="preserve"> June 2021, </w:t>
      </w:r>
      <w:r>
        <w:rPr>
          <w:rFonts w:ascii="Times New Roman" w:hAnsi="Times New Roman"/>
          <w:caps w:val="false"/>
          <w:smallCaps w:val="false"/>
          <w:sz w:val="20"/>
        </w:rPr>
        <w:t>the Company's stockholders approved an Amended and Restated </w:t>
      </w:r>
      <w:r>
        <w:rPr>
          <w:rStyle w:val="Emphasis"/>
          <w:rFonts w:ascii="Times New Roman" w:hAnsi="Times New Roman"/>
          <w:caps w:val="false"/>
          <w:smallCaps w:val="false"/>
          <w:sz w:val="20"/>
        </w:rPr>
        <w:t>2014</w:t>
      </w:r>
      <w:r>
        <w:rPr>
          <w:rFonts w:ascii="Times New Roman" w:hAnsi="Times New Roman"/>
          <w:caps w:val="false"/>
          <w:smallCaps w:val="false"/>
          <w:sz w:val="20"/>
        </w:rPr>
        <w:t> Equity Incentive Plan (the "A&amp;R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Plan"), following its adoption by the Board in </w:t>
      </w:r>
      <w:r>
        <w:rPr>
          <w:rStyle w:val="Emphasis"/>
          <w:rFonts w:ascii="Times New Roman" w:hAnsi="Times New Roman"/>
          <w:caps w:val="false"/>
          <w:smallCaps w:val="false"/>
          <w:sz w:val="20"/>
        </w:rPr>
        <w:t>April 2021, </w:t>
      </w:r>
      <w:r>
        <w:rPr>
          <w:rFonts w:ascii="Times New Roman" w:hAnsi="Times New Roman"/>
          <w:caps w:val="false"/>
          <w:smallCaps w:val="false"/>
          <w:sz w:val="20"/>
        </w:rPr>
        <w:t>which among other things added 4,900,000 shares to the maximum number of shares of common stock to be issued under the plan and extended the annual automatic increases (discussed further below) until </w:t>
      </w:r>
      <w:r>
        <w:rPr>
          <w:rStyle w:val="Emphasis"/>
          <w:rFonts w:ascii="Times New Roman" w:hAnsi="Times New Roman"/>
          <w:caps w:val="false"/>
          <w:smallCaps w:val="false"/>
          <w:sz w:val="20"/>
        </w:rPr>
        <w:t xml:space="preserve"> January 1, 2031 </w:t>
      </w:r>
      <w:r>
        <w:rPr>
          <w:rFonts w:ascii="Times New Roman" w:hAnsi="Times New Roman"/>
          <w:caps w:val="false"/>
          <w:smallCaps w:val="false"/>
          <w:sz w:val="20"/>
        </w:rPr>
        <w:t xml:space="preserve">and eliminated individual grant limits that applied under the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Plan to awards that were intended to comply with the exemption for "performance-based compensation" under Code Section </w:t>
      </w:r>
      <w:r>
        <w:rPr>
          <w:rStyle w:val="Emphasis"/>
          <w:rFonts w:ascii="Times New Roman" w:hAnsi="Times New Roman"/>
          <w:caps w:val="false"/>
          <w:smallCaps w:val="false"/>
          <w:sz w:val="20"/>
        </w:rPr>
        <w:t>162</w:t>
      </w:r>
      <w:r>
        <w:rPr>
          <w:rFonts w:ascii="Times New Roman" w:hAnsi="Times New Roman"/>
          <w:caps w:val="false"/>
          <w:smallCaps w:val="false"/>
          <w:sz w:val="20"/>
        </w:rPr>
        <w:t>(m). The maximum number of shares of common stock that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be issued under the A&amp;R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Plan is 8,271,497 as of </w:t>
      </w:r>
      <w:r>
        <w:rPr>
          <w:rStyle w:val="Emphasis"/>
          <w:rFonts w:ascii="Times New Roman" w:hAnsi="Times New Roman"/>
          <w:caps w:val="false"/>
          <w:smallCaps w:val="false"/>
          <w:sz w:val="20"/>
        </w:rPr>
        <w:t>March 31, 2023. </w:t>
      </w:r>
      <w:r>
        <w:rPr>
          <w:rFonts w:ascii="Times New Roman" w:hAnsi="Times New Roman"/>
          <w:caps w:val="false"/>
          <w:smallCaps w:val="false"/>
          <w:sz w:val="20"/>
        </w:rPr>
        <w:t xml:space="preserve">The number of shares of common stock reserved for issuance under the A&amp;R </w:t>
      </w:r>
      <w:r>
        <w:rPr>
          <w:rStyle w:val="Emphasis"/>
          <w:rFonts w:ascii="Times New Roman" w:hAnsi="Times New Roman"/>
          <w:caps w:val="false"/>
          <w:smallCaps w:val="false"/>
          <w:sz w:val="20"/>
        </w:rPr>
        <w:t>2014</w:t>
      </w:r>
      <w:r>
        <w:rPr>
          <w:rFonts w:ascii="Times New Roman" w:hAnsi="Times New Roman"/>
          <w:caps w:val="false"/>
          <w:smallCaps w:val="false"/>
          <w:sz w:val="20"/>
        </w:rPr>
        <w:t> Plan will automatically increase on </w:t>
      </w:r>
      <w:r>
        <w:rPr>
          <w:rStyle w:val="Emphasis"/>
          <w:rFonts w:ascii="Times New Roman" w:hAnsi="Times New Roman"/>
          <w:caps w:val="false"/>
          <w:smallCaps w:val="false"/>
          <w:sz w:val="20"/>
        </w:rPr>
        <w:t xml:space="preserve"> January 1 </w:t>
      </w:r>
      <w:r>
        <w:rPr>
          <w:rFonts w:ascii="Times New Roman" w:hAnsi="Times New Roman"/>
          <w:caps w:val="false"/>
          <w:smallCaps w:val="false"/>
          <w:sz w:val="20"/>
        </w:rPr>
        <w:t>of each year, beginning on </w:t>
      </w:r>
      <w:r>
        <w:rPr>
          <w:rStyle w:val="Emphasis"/>
          <w:rFonts w:ascii="Times New Roman" w:hAnsi="Times New Roman"/>
          <w:caps w:val="false"/>
          <w:smallCaps w:val="false"/>
          <w:sz w:val="20"/>
        </w:rPr>
        <w:t xml:space="preserve"> January 1, 2016, </w:t>
      </w:r>
      <w:r>
        <w:rPr>
          <w:rFonts w:ascii="Times New Roman" w:hAnsi="Times New Roman"/>
          <w:caps w:val="false"/>
          <w:smallCaps w:val="false"/>
          <w:sz w:val="20"/>
        </w:rPr>
        <w:t>and ending on and including </w:t>
      </w:r>
      <w:r>
        <w:rPr>
          <w:rStyle w:val="Emphasis"/>
          <w:rFonts w:ascii="Times New Roman" w:hAnsi="Times New Roman"/>
          <w:caps w:val="false"/>
          <w:smallCaps w:val="false"/>
          <w:sz w:val="20"/>
        </w:rPr>
        <w:t xml:space="preserve"> January 1, 2031, </w:t>
      </w:r>
      <w:r>
        <w:rPr>
          <w:rFonts w:ascii="Times New Roman" w:hAnsi="Times New Roman"/>
          <w:caps w:val="false"/>
          <w:smallCaps w:val="false"/>
          <w:sz w:val="20"/>
        </w:rPr>
        <w:t xml:space="preserve">by 4% of the total number of shares of the Company’s capital stock outstanding on </w:t>
      </w:r>
      <w:r>
        <w:rPr>
          <w:rStyle w:val="Emphasis"/>
          <w:rFonts w:ascii="Times New Roman" w:hAnsi="Times New Roman"/>
          <w:caps w:val="false"/>
          <w:smallCaps w:val="false"/>
          <w:sz w:val="20"/>
        </w:rPr>
        <w:t>December 31 </w:t>
      </w:r>
      <w:r>
        <w:rPr>
          <w:rFonts w:ascii="Times New Roman" w:hAnsi="Times New Roman"/>
          <w:caps w:val="false"/>
          <w:smallCaps w:val="false"/>
          <w:sz w:val="20"/>
        </w:rPr>
        <w:t>of the preceding calendar year, or a lesser number of shares determined by the Board. Pursuant to the terms of the </w:t>
      </w:r>
      <w:r>
        <w:rPr>
          <w:rStyle w:val="Emphasis"/>
          <w:rFonts w:ascii="Times New Roman" w:hAnsi="Times New Roman"/>
          <w:caps w:val="false"/>
          <w:smallCaps w:val="false"/>
          <w:sz w:val="20"/>
        </w:rPr>
        <w:t>2014</w:t>
      </w:r>
      <w:r>
        <w:rPr>
          <w:rFonts w:ascii="Times New Roman" w:hAnsi="Times New Roman"/>
          <w:caps w:val="false"/>
          <w:smallCaps w:val="false"/>
          <w:sz w:val="20"/>
        </w:rPr>
        <w:t> Plan, on </w:t>
      </w:r>
      <w:r>
        <w:rPr>
          <w:rStyle w:val="Emphasis"/>
          <w:rFonts w:ascii="Times New Roman" w:hAnsi="Times New Roman"/>
          <w:caps w:val="false"/>
          <w:smallCaps w:val="false"/>
          <w:sz w:val="20"/>
        </w:rPr>
        <w:t xml:space="preserve"> January 1, 2023, </w:t>
      </w:r>
      <w:r>
        <w:rPr>
          <w:rFonts w:ascii="Times New Roman" w:hAnsi="Times New Roman"/>
          <w:caps w:val="false"/>
          <w:smallCaps w:val="false"/>
          <w:sz w:val="20"/>
        </w:rPr>
        <w:t>the common stock reserved for issuance under the </w:t>
      </w:r>
      <w:r>
        <w:rPr>
          <w:rStyle w:val="Emphasis"/>
          <w:rFonts w:ascii="Times New Roman" w:hAnsi="Times New Roman"/>
          <w:caps w:val="false"/>
          <w:smallCaps w:val="false"/>
          <w:sz w:val="20"/>
        </w:rPr>
        <w:t>2014</w:t>
      </w:r>
      <w:r>
        <w:rPr>
          <w:rFonts w:ascii="Times New Roman" w:hAnsi="Times New Roman"/>
          <w:caps w:val="false"/>
          <w:smallCaps w:val="false"/>
          <w:sz w:val="20"/>
        </w:rPr>
        <w:t> Plan automatically increased by 1,381,612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no stock options were exercised.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June 2021, </w:t>
      </w:r>
      <w:r>
        <w:rPr>
          <w:rFonts w:ascii="Times New Roman" w:hAnsi="Times New Roman"/>
          <w:caps w:val="false"/>
          <w:smallCaps w:val="false"/>
          <w:sz w:val="20"/>
        </w:rPr>
        <w:t xml:space="preserve">the Company's stockholders approved an Employee Stock Purchase Plan (the "ESPP"), following its adoption by the Board in </w:t>
      </w:r>
      <w:r>
        <w:rPr>
          <w:rStyle w:val="Emphasis"/>
          <w:rFonts w:ascii="Times New Roman" w:hAnsi="Times New Roman"/>
          <w:caps w:val="false"/>
          <w:smallCaps w:val="false"/>
          <w:sz w:val="20"/>
        </w:rPr>
        <w:t xml:space="preserve">April 2021. </w:t>
      </w:r>
      <w:r>
        <w:rPr>
          <w:rFonts w:ascii="Times New Roman" w:hAnsi="Times New Roman"/>
          <w:caps w:val="false"/>
          <w:smallCaps w:val="false"/>
          <w:sz w:val="20"/>
        </w:rPr>
        <w:t>The maximum number of shares of common stock that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 xml:space="preserve">be issued under the ESPP is 1,500,000.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offering period under the ESPP began on </w:t>
      </w:r>
      <w:r>
        <w:rPr>
          <w:rStyle w:val="Emphasis"/>
          <w:rFonts w:ascii="Times New Roman" w:hAnsi="Times New Roman"/>
          <w:caps w:val="false"/>
          <w:smallCaps w:val="false"/>
          <w:sz w:val="20"/>
        </w:rPr>
        <w:t xml:space="preserve">October 1, 2021, </w:t>
      </w:r>
      <w:r>
        <w:rPr>
          <w:rFonts w:ascii="Times New Roman" w:hAnsi="Times New Roman"/>
          <w:caps w:val="false"/>
          <w:smallCaps w:val="false"/>
          <w:sz w:val="20"/>
        </w:rPr>
        <w:t xml:space="preserve">and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purchase date occurred on </w:t>
      </w:r>
      <w:r>
        <w:rPr>
          <w:rStyle w:val="Emphasis"/>
          <w:rFonts w:ascii="Times New Roman" w:hAnsi="Times New Roman"/>
          <w:caps w:val="false"/>
          <w:smallCaps w:val="false"/>
          <w:sz w:val="20"/>
        </w:rPr>
        <w:t xml:space="preserve">May 31, 2022. </w:t>
      </w: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March 31, 2023,</w:t>
      </w:r>
      <w:r>
        <w:rPr>
          <w:rFonts w:ascii="Times New Roman" w:hAnsi="Times New Roman"/>
          <w:caps w:val="false"/>
          <w:smallCaps w:val="false"/>
          <w:sz w:val="20"/>
          <w:shd w:fill="FFFFFF" w:val="clear"/>
        </w:rPr>
        <w:t xml:space="preserve"> 82,635 shar</w:t>
      </w:r>
      <w:r>
        <w:rPr>
          <w:rFonts w:ascii="Times New Roman" w:hAnsi="Times New Roman"/>
          <w:caps w:val="false"/>
          <w:smallCaps w:val="false"/>
          <w:sz w:val="20"/>
        </w:rPr>
        <w:t>es have been issued under the ESPP.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January 2023, </w:t>
      </w:r>
      <w:r>
        <w:rPr>
          <w:rFonts w:ascii="Times New Roman" w:hAnsi="Times New Roman"/>
          <w:caps w:val="false"/>
          <w:smallCaps w:val="false"/>
          <w:sz w:val="20"/>
        </w:rPr>
        <w:t xml:space="preserve">the Board approved the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Employment Inducement Award Plan (the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Plan"). The maximum number of shares of common stock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issued under the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Plan is 1,500,000.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Stock-based compensation expense recorded under the Incentive Stock Plan,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Plan, A&amp;R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Plan and ESPP is included in the following line items in the accompanying unaudited condensed consolidated statements of operations (in thousands):</w:t>
      </w:r>
    </w:p>
    <w:p>
      <w:pPr>
        <w:pStyle w:val="TextBody"/>
        <w:bidi w:val="0"/>
        <w:spacing w:before="0" w:after="0"/>
        <w:ind w:left="0" w:right="0" w:hanging="0"/>
        <w:jc w:val="both"/>
        <w:rPr/>
      </w:pPr>
      <w:r>
        <w:rPr/>
        <w:t>  </w:t>
      </w:r>
    </w:p>
    <w:tbl>
      <w:tblPr>
        <w:tblW w:w="6052" w:type="dxa"/>
        <w:jc w:val="left"/>
        <w:tblInd w:w="0" w:type="dxa"/>
        <w:tblLayout w:type="fixed"/>
        <w:tblCellMar>
          <w:top w:w="0" w:type="dxa"/>
          <w:left w:w="0" w:type="dxa"/>
          <w:bottom w:w="0" w:type="dxa"/>
          <w:right w:w="0" w:type="dxa"/>
        </w:tblCellMar>
      </w:tblPr>
      <w:tblGrid>
        <w:gridCol w:w="3350"/>
        <w:gridCol w:w="60"/>
        <w:gridCol w:w="310"/>
        <w:gridCol w:w="832"/>
        <w:gridCol w:w="149"/>
        <w:gridCol w:w="149"/>
        <w:gridCol w:w="310"/>
        <w:gridCol w:w="832"/>
        <w:gridCol w:w="60"/>
      </w:tblGrid>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March 31,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4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11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3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572</w:t>
            </w:r>
          </w:p>
        </w:tc>
        <w:tc>
          <w:tcPr>
            <w:tcW w:w="149"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3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311</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Selling, general and administrative</w:t>
            </w:r>
          </w:p>
        </w:tc>
        <w:tc>
          <w:tcPr>
            <w:tcW w:w="60" w:type="dxa"/>
            <w:tcBorders/>
            <w:shd w:fill="FFFFFF" w:val="clear"/>
            <w:vAlign w:val="center"/>
          </w:tcPr>
          <w:p>
            <w:pPr>
              <w:pStyle w:val="TableContents"/>
              <w:bidi w:val="0"/>
              <w:spacing w:before="0" w:after="0"/>
              <w:ind w:left="0" w:right="0" w:hanging="0"/>
              <w:jc w:val="left"/>
              <w:rPr/>
            </w:pPr>
            <w:r>
              <w:rPr/>
              <w:t> </w:t>
            </w:r>
          </w:p>
        </w:tc>
        <w:tc>
          <w:tcPr>
            <w:tcW w:w="3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3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w:t>
            </w:r>
          </w:p>
        </w:tc>
        <w:tc>
          <w:tcPr>
            <w:tcW w:w="14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49" w:type="dxa"/>
            <w:tcBorders/>
            <w:shd w:fill="FFFFFF" w:val="clear"/>
            <w:vAlign w:val="center"/>
          </w:tcPr>
          <w:p>
            <w:pPr>
              <w:pStyle w:val="TableContents"/>
              <w:bidi w:val="0"/>
              <w:spacing w:before="0" w:after="0"/>
              <w:ind w:left="0" w:right="0" w:hanging="0"/>
              <w:jc w:val="left"/>
              <w:rPr/>
            </w:pPr>
            <w:r>
              <w:rPr/>
              <w:t> </w:t>
            </w:r>
          </w:p>
        </w:tc>
        <w:tc>
          <w:tcPr>
            <w:tcW w:w="3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3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607</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stock-based compensation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3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591</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3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There was no stock-based compensation expense related to performance-based awards recognized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or </w:t>
      </w:r>
      <w:r>
        <w:rPr>
          <w:rStyle w:val="Emphasis"/>
          <w:rFonts w:ascii="Times New Roman" w:hAnsi="Times New Roman"/>
          <w:caps w:val="false"/>
          <w:smallCaps w:val="false"/>
          <w:sz w:val="20"/>
        </w:rPr>
        <w:t>2022.</w:t>
      </w:r>
      <w:r>
        <w:rPr>
          <w:rFonts w:ascii="Times New Roman" w:hAnsi="Times New Roman"/>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a result of the modification of certain stock options in connection with the Transition Agreement, as further discussed in Note J, the Company recaptured $0.9 million in stock-compensation expense and recognized $0.4 million in severance expense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2023. </w:t>
      </w:r>
    </w:p>
    <w:p>
      <w:pPr>
        <w:pStyle w:val="TextBody"/>
        <w:shd w:fill="FFFFFF" w:val="clear"/>
        <w:bidi w:val="0"/>
        <w:spacing w:before="0" w:after="0"/>
        <w:ind w:left="0" w:right="0" w:hanging="0"/>
        <w:jc w:val="both"/>
        <w:rPr>
          <w:color w:val="000000"/>
        </w:rPr>
      </w:pPr>
      <w:r>
        <w:rPr>
          <w:color w:val="000000"/>
        </w:rPr>
        <w:t> </w:t>
      </w:r>
    </w:p>
    <w:p>
      <w:pPr>
        <w:pStyle w:val="TextBody"/>
        <w:bidi w:val="0"/>
        <w:spacing w:before="0" w:after="0"/>
        <w:jc w:val="center"/>
        <w:rPr/>
      </w:pPr>
      <w:r>
        <w:rPr>
          <w:rStyle w:val="Emphasis"/>
          <w:rFonts w:ascii="Times New Roman" w:hAnsi="Times New Roman"/>
          <w:sz w:val="20"/>
        </w:rPr>
        <w:t>19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3925" w:type="dxa"/>
        <w:jc w:val="left"/>
        <w:tblInd w:w="0" w:type="dxa"/>
        <w:tblLayout w:type="fixed"/>
        <w:tblCellMar>
          <w:top w:w="0" w:type="dxa"/>
          <w:left w:w="0" w:type="dxa"/>
          <w:bottom w:w="0" w:type="dxa"/>
          <w:right w:w="0" w:type="dxa"/>
        </w:tblCellMar>
      </w:tblPr>
      <w:tblGrid>
        <w:gridCol w:w="260"/>
        <w:gridCol w:w="3665"/>
      </w:tblGrid>
      <w:tr>
        <w:trPr/>
        <w:tc>
          <w:tcPr>
            <w:tcW w:w="260" w:type="dxa"/>
            <w:tcBorders/>
            <w:vAlign w:val="center"/>
          </w:tcPr>
          <w:p>
            <w:pPr>
              <w:pStyle w:val="TableContents"/>
              <w:bidi w:val="0"/>
              <w:spacing w:before="0" w:after="283"/>
              <w:jc w:val="left"/>
              <w:rPr>
                <w:b/>
              </w:rPr>
            </w:pPr>
            <w:r>
              <w:rPr>
                <w:b/>
              </w:rPr>
              <w:t>G.</w:t>
            </w:r>
          </w:p>
        </w:tc>
        <w:tc>
          <w:tcPr>
            <w:tcW w:w="3665" w:type="dxa"/>
            <w:tcBorders/>
            <w:vAlign w:val="center"/>
          </w:tcPr>
          <w:p>
            <w:pPr>
              <w:pStyle w:val="TableContents"/>
              <w:bidi w:val="0"/>
              <w:spacing w:before="0" w:after="283"/>
              <w:jc w:val="left"/>
              <w:rPr>
                <w:b/>
              </w:rPr>
            </w:pPr>
            <w:r>
              <w:rPr>
                <w:b/>
              </w:rPr>
              <w:t>Fair Value of Financial Instruments</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accounting standard for fair value measurements provides a framework for measuring fair value and requires disclosures regarding fair value measurements. Fair value is defined as the price that would be received to sell an asset or paid to transfer a liability in an orderly transaction between market participants at the measurement date, based on the Company’s principal or, in absence of a principal, most advantageous market for the specific asset or liability.</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 Company uses a </w:t>
      </w:r>
      <w:r>
        <w:rPr>
          <w:rStyle w:val="Emphasis"/>
          <w:rFonts w:ascii="Times New Roman;Times;serif" w:hAnsi="Times New Roman;Times;serif"/>
          <w:sz w:val="20"/>
        </w:rPr>
        <w:t>three</w:t>
      </w:r>
      <w:r>
        <w:rPr>
          <w:rFonts w:ascii="Times New Roman;Times;serif" w:hAnsi="Times New Roman;Times;serif"/>
          <w:sz w:val="20"/>
        </w:rPr>
        <w:t xml:space="preserve">-tier fair value hierarchy to classify and disclose all assets and liabilities measured at fair value on a recurring basis, as well as assets and liabilities measured at fair value on a non-recurring basis, in periods subsequent to their initial measurement. The hierarchy requires the Company to use observable inputs when available, and to minimize the use of unobservable inputs, when determining fair value. The </w:t>
      </w:r>
      <w:r>
        <w:rPr>
          <w:rStyle w:val="Emphasis"/>
          <w:rFonts w:ascii="Times New Roman;Times;serif" w:hAnsi="Times New Roman;Times;serif"/>
          <w:sz w:val="20"/>
        </w:rPr>
        <w:t>three</w:t>
      </w:r>
      <w:r>
        <w:rPr>
          <w:rFonts w:ascii="Times New Roman;Times;serif" w:hAnsi="Times New Roman;Times;serif"/>
          <w:sz w:val="20"/>
        </w:rPr>
        <w:t xml:space="preserve"> tiers are defined as follows:</w:t>
      </w:r>
    </w:p>
    <w:p>
      <w:pPr>
        <w:pStyle w:val="TextBody"/>
        <w:bidi w:val="0"/>
        <w:spacing w:before="0" w:after="0"/>
        <w:ind w:left="0" w:right="0" w:hanging="0"/>
        <w:jc w:val="center"/>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sz w:val="20"/>
              </w:rPr>
              <w:t xml:space="preserve">Level </w:t>
            </w:r>
            <w:r>
              <w:rPr>
                <w:rStyle w:val="Emphasis"/>
                <w:rFonts w:ascii="Times New Roman;Times;serif" w:hAnsi="Times New Roman;Times;serif"/>
                <w:sz w:val="20"/>
              </w:rPr>
              <w:t>1—Observable</w:t>
            </w:r>
            <w:r>
              <w:rPr>
                <w:rFonts w:ascii="Times New Roman;Times;serif" w:hAnsi="Times New Roman;Times;serif"/>
                <w:sz w:val="20"/>
              </w:rPr>
              <w:t xml:space="preserve"> inputs that reflect quoted market prices (unadjusted) for identical assets or liabilities in active markets; </w:t>
            </w:r>
          </w:p>
        </w:tc>
      </w:tr>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sz w:val="20"/>
              </w:rPr>
              <w:t xml:space="preserve">Level </w:t>
            </w:r>
            <w:r>
              <w:rPr>
                <w:rStyle w:val="Emphasis"/>
                <w:rFonts w:ascii="Times New Roman;Times;serif" w:hAnsi="Times New Roman;Times;serif"/>
                <w:sz w:val="20"/>
              </w:rPr>
              <w:t>2—Observable</w:t>
            </w:r>
            <w:r>
              <w:rPr>
                <w:rFonts w:ascii="Times New Roman;Times;serif" w:hAnsi="Times New Roman;Times;serif"/>
                <w:sz w:val="20"/>
              </w:rPr>
              <w:t xml:space="preserve"> inputs other than quoted prices in active markets that are observable either directly or indirectly in the marketplace for identical or similar assets and liabilities; and</w:t>
            </w:r>
          </w:p>
        </w:tc>
      </w:tr>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sz w:val="20"/>
              </w:rPr>
              <w:t xml:space="preserve">Level </w:t>
            </w:r>
            <w:r>
              <w:rPr>
                <w:rStyle w:val="Emphasis"/>
                <w:rFonts w:ascii="Times New Roman;Times;serif" w:hAnsi="Times New Roman;Times;serif"/>
                <w:sz w:val="20"/>
              </w:rPr>
              <w:t>3—Unobservable</w:t>
            </w:r>
            <w:r>
              <w:rPr>
                <w:rFonts w:ascii="Times New Roman;Times;serif" w:hAnsi="Times New Roman;Times;serif"/>
                <w:sz w:val="20"/>
              </w:rPr>
              <w:t xml:space="preserve"> inputs that are supported by little or </w:t>
            </w:r>
            <w:r>
              <w:rPr>
                <w:rStyle w:val="Emphasis"/>
                <w:rFonts w:ascii="Times New Roman;Times;serif" w:hAnsi="Times New Roman;Times;serif"/>
                <w:sz w:val="20"/>
              </w:rPr>
              <w:t>no</w:t>
            </w:r>
            <w:r>
              <w:rPr>
                <w:rFonts w:ascii="Times New Roman;Times;serif" w:hAnsi="Times New Roman;Times;serif"/>
                <w:sz w:val="20"/>
              </w:rPr>
              <w:t xml:space="preserve"> market data, which require the Company to develop its own assumptions.</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carrying amounts of certain financial instruments, including cash and cash equivalents, investments and accounts payable and accrued expenses, approximate their respective fair values due to the short-term nature of such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Assets and Liabilities Measured at Fair Value on a Recurring Basis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evaluates its financial assets and liabilities subject to fair value measurements on a recurring basis to determine the appropriate level in which to classify them for each reporting period. This determination requires significant judgments to be made. The following table summarizes the conclusions reached regarding fair value measurements as of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December 31, 2022 (</w:t>
      </w:r>
      <w:r>
        <w:rPr>
          <w:rFonts w:ascii="Times New Roman" w:hAnsi="Times New Roman"/>
          <w:caps w:val="false"/>
          <w:smallCaps w:val="false"/>
          <w:sz w:val="20"/>
        </w:rPr>
        <w:t>in thousands):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2472"/>
        <w:gridCol w:w="60"/>
        <w:gridCol w:w="227"/>
        <w:gridCol w:w="1073"/>
        <w:gridCol w:w="60"/>
        <w:gridCol w:w="60"/>
        <w:gridCol w:w="379"/>
        <w:gridCol w:w="1800"/>
        <w:gridCol w:w="60"/>
        <w:gridCol w:w="60"/>
        <w:gridCol w:w="380"/>
        <w:gridCol w:w="1484"/>
        <w:gridCol w:w="60"/>
        <w:gridCol w:w="60"/>
        <w:gridCol w:w="618"/>
        <w:gridCol w:w="1290"/>
        <w:gridCol w:w="62"/>
      </w:tblGrid>
      <w:tr>
        <w:trPr/>
        <w:tc>
          <w:tcPr>
            <w:tcW w:w="24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0"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Balance as of March 31, 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Quoted Prices in Active Markets for Identical Assets (Level 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4"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Significant Other Observable Inputs (Level 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8"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Significant Unobservable Inputs (Level 3)</w:t>
            </w:r>
          </w:p>
        </w:tc>
        <w:tc>
          <w:tcPr>
            <w:tcW w:w="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24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OTA Warrant liability</w:t>
            </w:r>
          </w:p>
        </w:tc>
        <w:tc>
          <w:tcPr>
            <w:tcW w:w="60" w:type="dxa"/>
            <w:tcBorders/>
            <w:shd w:fill="CCEEFF" w:val="clear"/>
            <w:vAlign w:val="center"/>
          </w:tcPr>
          <w:p>
            <w:pPr>
              <w:pStyle w:val="TableContents"/>
              <w:bidi w:val="0"/>
              <w:spacing w:before="0" w:after="0"/>
              <w:ind w:left="0" w:right="0" w:hanging="0"/>
              <w:jc w:val="left"/>
              <w:rPr/>
            </w:pPr>
            <w:r>
              <w:rPr/>
              <w:t> </w:t>
            </w:r>
          </w:p>
        </w:tc>
        <w:tc>
          <w:tcPr>
            <w:tcW w:w="2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8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62"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r>
      <w:tr>
        <w:trPr/>
        <w:tc>
          <w:tcPr>
            <w:tcW w:w="2472"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Total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2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0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247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p>
        </w:tc>
        <w:tc>
          <w:tcPr>
            <w:tcW w:w="1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148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8"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 </w:t>
            </w:r>
          </w:p>
        </w:tc>
        <w:tc>
          <w:tcPr>
            <w:tcW w:w="62" w:type="dxa"/>
            <w:tcBorders/>
            <w:shd w:fill="CCEEFF" w:val="clear"/>
            <w:vAlign w:val="center"/>
          </w:tcPr>
          <w:p>
            <w:pPr>
              <w:pStyle w:val="TableContents"/>
              <w:bidi w:val="0"/>
              <w:spacing w:before="0" w:after="283"/>
              <w:jc w:val="left"/>
              <w:rPr/>
            </w:pPr>
            <w:r>
              <w:rPr/>
              <w:t> </w:t>
            </w:r>
          </w:p>
        </w:tc>
      </w:tr>
      <w:tr>
        <w:trPr/>
        <w:tc>
          <w:tcPr>
            <w:tcW w:w="2472"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14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r>
      <w:tr>
        <w:trPr/>
        <w:tc>
          <w:tcPr>
            <w:tcW w:w="2472"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U.S. government-sponsored agency securities</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90"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ind w:left="0" w:right="0" w:hanging="0"/>
              <w:jc w:val="left"/>
              <w:rPr/>
            </w:pPr>
            <w:r>
              <w:rPr/>
              <w:t> </w:t>
            </w:r>
          </w:p>
        </w:tc>
      </w:tr>
      <w:tr>
        <w:trPr/>
        <w:tc>
          <w:tcPr>
            <w:tcW w:w="2472"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60" w:type="dxa"/>
            <w:tcBorders/>
            <w:shd w:fill="FFFFFF" w:val="clear"/>
            <w:vAlign w:val="center"/>
          </w:tcPr>
          <w:p>
            <w:pPr>
              <w:pStyle w:val="TableContents"/>
              <w:bidi w:val="0"/>
              <w:spacing w:before="0" w:after="0"/>
              <w:ind w:left="0" w:right="0" w:hanging="0"/>
              <w:jc w:val="left"/>
              <w:rPr/>
            </w:pPr>
            <w:r>
              <w:rPr/>
              <w:t> </w:t>
            </w:r>
          </w:p>
        </w:tc>
        <w:tc>
          <w:tcPr>
            <w:tcW w:w="22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7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27,113</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7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80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27,113</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48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1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2"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2472"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2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34,403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27,113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7,290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447"/>
        <w:gridCol w:w="60"/>
        <w:gridCol w:w="252"/>
        <w:gridCol w:w="1198"/>
        <w:gridCol w:w="60"/>
        <w:gridCol w:w="60"/>
        <w:gridCol w:w="432"/>
        <w:gridCol w:w="1689"/>
        <w:gridCol w:w="60"/>
        <w:gridCol w:w="60"/>
        <w:gridCol w:w="372"/>
        <w:gridCol w:w="1454"/>
        <w:gridCol w:w="60"/>
        <w:gridCol w:w="60"/>
        <w:gridCol w:w="608"/>
        <w:gridCol w:w="1269"/>
        <w:gridCol w:w="64"/>
      </w:tblGrid>
      <w:tr>
        <w:trPr/>
        <w:tc>
          <w:tcPr>
            <w:tcW w:w="24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0"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Balance as of December 31, 2022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1"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Quoted Prices in Active Markets for Identical Assets (Level 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6"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Significant Other Observable Inputs (Level 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7"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Significant Unobservable Inputs (Level 3)</w:t>
            </w:r>
          </w:p>
        </w:tc>
        <w:tc>
          <w:tcPr>
            <w:tcW w:w="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4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OTA Warrant liability</w:t>
            </w:r>
          </w:p>
        </w:tc>
        <w:tc>
          <w:tcPr>
            <w:tcW w:w="60" w:type="dxa"/>
            <w:tcBorders/>
            <w:shd w:fill="CCEEFF" w:val="clear"/>
            <w:vAlign w:val="center"/>
          </w:tcPr>
          <w:p>
            <w:pPr>
              <w:pStyle w:val="TableContents"/>
              <w:bidi w:val="0"/>
              <w:spacing w:before="0" w:after="283"/>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447"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Total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2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8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6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24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ind w:left="0" w:right="0" w:hanging="0"/>
              <w:jc w:val="left"/>
              <w:rPr/>
            </w:pPr>
            <w:r>
              <w:rPr/>
              <w:t> </w:t>
            </w:r>
          </w:p>
        </w:tc>
        <w:tc>
          <w:tcPr>
            <w:tcW w:w="1198" w:type="dxa"/>
            <w:tcBorders/>
            <w:shd w:fill="CCEEFF" w:val="clear"/>
            <w:vAlign w:val="center"/>
          </w:tcPr>
          <w:p>
            <w:pPr>
              <w:pStyle w:val="TableContents"/>
              <w:bidi w:val="0"/>
              <w:spacing w:before="0" w:after="283"/>
              <w:ind w:left="0" w:right="0" w:hanging="0"/>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 </w:t>
            </w:r>
          </w:p>
        </w:tc>
        <w:tc>
          <w:tcPr>
            <w:tcW w:w="168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jc w:val="left"/>
              <w:rPr/>
            </w:pPr>
            <w:r>
              <w:rPr/>
              <w:t> </w:t>
            </w:r>
          </w:p>
        </w:tc>
        <w:tc>
          <w:tcPr>
            <w:tcW w:w="145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 </w:t>
            </w:r>
          </w:p>
        </w:tc>
        <w:tc>
          <w:tcPr>
            <w:tcW w:w="64" w:type="dxa"/>
            <w:tcBorders/>
            <w:shd w:fill="CCEEFF" w:val="clear"/>
            <w:vAlign w:val="center"/>
          </w:tcPr>
          <w:p>
            <w:pPr>
              <w:pStyle w:val="TableContents"/>
              <w:bidi w:val="0"/>
              <w:spacing w:before="0" w:after="283"/>
              <w:jc w:val="left"/>
              <w:rPr/>
            </w:pPr>
            <w:r>
              <w:rPr/>
              <w:t> </w:t>
            </w:r>
          </w:p>
        </w:tc>
      </w:tr>
      <w:tr>
        <w:trPr/>
        <w:tc>
          <w:tcPr>
            <w:tcW w:w="2447"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left"/>
              <w:rPr/>
            </w:pPr>
            <w:r>
              <w:rPr/>
              <w:t> </w:t>
            </w:r>
          </w:p>
        </w:tc>
        <w:tc>
          <w:tcPr>
            <w:tcW w:w="16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2" w:type="dxa"/>
            <w:tcBorders/>
            <w:shd w:fill="FFFFFF" w:val="clear"/>
            <w:vAlign w:val="center"/>
          </w:tcPr>
          <w:p>
            <w:pPr>
              <w:pStyle w:val="TableContents"/>
              <w:bidi w:val="0"/>
              <w:spacing w:before="0" w:after="283"/>
              <w:jc w:val="left"/>
              <w:rPr/>
            </w:pPr>
            <w:r>
              <w:rPr/>
              <w:t> </w:t>
            </w:r>
          </w:p>
        </w:tc>
        <w:tc>
          <w:tcPr>
            <w:tcW w:w="14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r>
      <w:tr>
        <w:trPr/>
        <w:tc>
          <w:tcPr>
            <w:tcW w:w="2447"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U.S. government-sponsored agency securities</w:t>
            </w:r>
          </w:p>
        </w:tc>
        <w:tc>
          <w:tcPr>
            <w:tcW w:w="60" w:type="dxa"/>
            <w:tcBorders/>
            <w:shd w:fill="CCEEFF" w:val="clear"/>
            <w:vAlign w:val="center"/>
          </w:tcPr>
          <w:p>
            <w:pPr>
              <w:pStyle w:val="TableContents"/>
              <w:bidi w:val="0"/>
              <w:spacing w:before="0" w:after="283"/>
              <w:ind w:left="0" w:right="0" w:hanging="0"/>
              <w:jc w:val="left"/>
              <w:rPr/>
            </w:pPr>
            <w:r>
              <w:rPr/>
              <w:t> </w:t>
            </w:r>
          </w:p>
        </w:tc>
        <w:tc>
          <w:tcPr>
            <w:tcW w:w="2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8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69" w:type="dxa"/>
            <w:tcBorders/>
            <w:shd w:fill="CCEEFF" w:val="clear"/>
            <w:vAlign w:val="center"/>
          </w:tcPr>
          <w:p>
            <w:pPr>
              <w:pStyle w:val="TableContents"/>
              <w:bidi w:val="0"/>
              <w:spacing w:before="0" w:after="283"/>
              <w:ind w:left="0" w:right="0" w:hanging="0"/>
              <w:jc w:val="right"/>
              <w:rPr/>
            </w:pPr>
            <w:r>
              <w:rPr/>
              <w:t>—</w:t>
            </w:r>
          </w:p>
        </w:tc>
        <w:tc>
          <w:tcPr>
            <w:tcW w:w="64" w:type="dxa"/>
            <w:tcBorders/>
            <w:shd w:fill="CCEEFF" w:val="clear"/>
            <w:vAlign w:val="center"/>
          </w:tcPr>
          <w:p>
            <w:pPr>
              <w:pStyle w:val="TableContents"/>
              <w:bidi w:val="0"/>
              <w:spacing w:before="0" w:after="283"/>
              <w:jc w:val="left"/>
              <w:rPr/>
            </w:pPr>
            <w:r>
              <w:rPr/>
              <w:t> </w:t>
            </w:r>
          </w:p>
        </w:tc>
      </w:tr>
      <w:tr>
        <w:trPr/>
        <w:tc>
          <w:tcPr>
            <w:tcW w:w="2447"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60" w:type="dxa"/>
            <w:tcBorders/>
            <w:shd w:fill="FFFFFF" w:val="clear"/>
            <w:vAlign w:val="center"/>
          </w:tcPr>
          <w:p>
            <w:pPr>
              <w:pStyle w:val="TableContents"/>
              <w:bidi w:val="0"/>
              <w:spacing w:before="0" w:after="283"/>
              <w:jc w:val="left"/>
              <w:rPr/>
            </w:pPr>
            <w:r>
              <w:rPr/>
              <w:t> </w:t>
            </w:r>
          </w:p>
        </w:tc>
        <w:tc>
          <w:tcPr>
            <w:tcW w:w="2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9,711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6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9,711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447"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2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16,900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8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9,711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7,189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20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The Company’s OTA Warrant liability, embedded Warrant Put Option and securities are measured at fair value on a recurring basis. As of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December 31, 2022, </w:t>
      </w:r>
      <w:r>
        <w:rPr>
          <w:rFonts w:ascii="Times New Roman" w:hAnsi="Times New Roman"/>
          <w:caps w:val="false"/>
          <w:smallCaps w:val="false"/>
          <w:sz w:val="20"/>
        </w:rPr>
        <w:t xml:space="preserve">the OTA Warrant liability and the embedded Warrant Put Option are reported on the unaudited condensed consolidated balance sheets in derivative and warrant liability. As of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the securities are reported on the unaudited condensed consolidated balance sheets in securities at fair value. The Company used a Monte Carlo simulation to value the OTA Warrant liability and embedded Warrant Put Option for all periods presented herein. Significant unobservable inputs used in measuring the fair value of these financial instruments included the Company’s estimated enterprise value, an estimate of the timing of a liquidity or fundamental change event and a present value discount rate. Changes in the fair value of the OTA Warrant liability and embedded Warrant Put Option are reflected in the unaudited condensed consolidated statements of operations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2023, </w:t>
      </w:r>
      <w:r>
        <w:rPr>
          <w:rFonts w:ascii="Times New Roman" w:hAnsi="Times New Roman"/>
          <w:caps w:val="false"/>
          <w:smallCaps w:val="false"/>
          <w:sz w:val="20"/>
        </w:rPr>
        <w:t>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as a fair value adjustment related to derivative and warrant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derivative liability for the OTA Warrant wa</w:t>
      </w:r>
      <w:r>
        <w:rPr>
          <w:rFonts w:ascii="Times New Roman" w:hAnsi="Times New Roman"/>
          <w:caps w:val="false"/>
          <w:smallCaps w:val="false"/>
          <w:sz w:val="20"/>
          <w:shd w:fill="FFFFFF" w:val="clear"/>
        </w:rPr>
        <w:t>s $3,000 </w:t>
      </w:r>
      <w:r>
        <w:rPr>
          <w:rFonts w:ascii="Times New Roman" w:hAnsi="Times New Roman"/>
          <w:caps w:val="false"/>
          <w:smallCaps w:val="false"/>
          <w:sz w:val="20"/>
        </w:rPr>
        <w:t xml:space="preserve">and $1,000 at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December 31, 2022, </w:t>
      </w:r>
      <w:r>
        <w:rPr>
          <w:rFonts w:ascii="Times New Roman" w:hAnsi="Times New Roman"/>
          <w:caps w:val="false"/>
          <w:smallCaps w:val="false"/>
          <w:sz w:val="20"/>
        </w:rPr>
        <w:t>respectively. The derivative liability for the embedded Warrant Put Option was</w:t>
      </w:r>
      <w:r>
        <w:rPr>
          <w:rFonts w:ascii="Times New Roman" w:hAnsi="Times New Roman"/>
          <w:caps w:val="false"/>
          <w:smallCaps w:val="false"/>
          <w:sz w:val="20"/>
          <w:shd w:fill="FFFFFF" w:val="clear"/>
        </w:rPr>
        <w:t xml:space="preserve"> $0 a</w:t>
      </w:r>
      <w:r>
        <w:rPr>
          <w:rFonts w:ascii="Times New Roman" w:hAnsi="Times New Roman"/>
          <w:caps w:val="false"/>
          <w:smallCaps w:val="false"/>
          <w:sz w:val="20"/>
        </w:rPr>
        <w:t xml:space="preserve">t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A </w:t>
      </w:r>
      <w:r>
        <w:rPr>
          <w:rStyle w:val="Emphasis"/>
          <w:rFonts w:ascii="Times New Roman" w:hAnsi="Times New Roman"/>
          <w:caps w:val="false"/>
          <w:smallCaps w:val="false"/>
          <w:sz w:val="20"/>
        </w:rPr>
        <w:t>10%</w:t>
      </w:r>
      <w:r>
        <w:rPr>
          <w:rFonts w:ascii="Times New Roman" w:hAnsi="Times New Roman"/>
          <w:caps w:val="false"/>
          <w:smallCaps w:val="false"/>
          <w:sz w:val="20"/>
        </w:rPr>
        <w:t> increase in the enterprise value would result in a negligible increase in the estimated fair value of the OTA Warrant liability and the estimated fair value of the embedded Warrant Put Option liability. In addition, the Company assumed a weighted-average probability of a liquidity event occurring of approximately 48% with an estimated probability-weighted value of approximately $38</w:t>
      </w:r>
      <w:r>
        <w:rPr>
          <w:rStyle w:val="Emphasis"/>
          <w:rFonts w:ascii="Times New Roman" w:hAnsi="Times New Roman"/>
          <w:caps w:val="false"/>
          <w:smallCaps w:val="false"/>
          <w:sz w:val="20"/>
          <w:shd w:fill="FFFFFF" w:val="clear"/>
        </w:rPr>
        <w:t>.5</w:t>
      </w:r>
      <w:r>
        <w:rPr>
          <w:rFonts w:ascii="Times New Roman" w:hAnsi="Times New Roman"/>
          <w:caps w:val="false"/>
          <w:smallCaps w:val="false"/>
          <w:sz w:val="20"/>
        </w:rPr>
        <w:t> million and a weighted-average probability of a fundamental change event occurring of approximately 30% with an estimated probability-weighted value of approximately $463</w:t>
      </w:r>
      <w:r>
        <w:rPr>
          <w:rStyle w:val="Emphasis"/>
          <w:rFonts w:ascii="Times New Roman" w:hAnsi="Times New Roman"/>
          <w:caps w:val="false"/>
          <w:smallCaps w:val="false"/>
          <w:sz w:val="20"/>
          <w:shd w:fill="FFFFFF" w:val="clear"/>
        </w:rPr>
        <w:t>.8</w:t>
      </w:r>
      <w:r>
        <w:rPr>
          <w:rFonts w:ascii="Times New Roman" w:hAnsi="Times New Roman"/>
          <w:caps w:val="false"/>
          <w:smallCaps w:val="false"/>
          <w:sz w:val="20"/>
          <w:shd w:fill="FFFFFF" w:val="clear"/>
        </w:rPr>
        <w:t> m</w:t>
      </w:r>
      <w:r>
        <w:rPr>
          <w:rFonts w:ascii="Times New Roman" w:hAnsi="Times New Roman"/>
          <w:caps w:val="false"/>
          <w:smallCaps w:val="false"/>
          <w:sz w:val="20"/>
        </w:rPr>
        <w:t xml:space="preserve">illion, respectively, with estimated timing in each scenario of the </w:t>
      </w:r>
      <w:r>
        <w:rPr>
          <w:rStyle w:val="Emphasis"/>
          <w:rFonts w:ascii="Times New Roman" w:hAnsi="Times New Roman"/>
          <w:caps w:val="false"/>
          <w:smallCaps w:val="false"/>
          <w:sz w:val="20"/>
        </w:rPr>
        <w:t>fourth</w:t>
      </w:r>
      <w:r>
        <w:rPr>
          <w:rFonts w:ascii="Times New Roman" w:hAnsi="Times New Roman"/>
          <w:caps w:val="false"/>
          <w:smallCaps w:val="false"/>
          <w:sz w:val="20"/>
          <w:shd w:fill="FFFFFF" w:val="clear"/>
        </w:rPr>
        <w:t> quarter of </w:t>
      </w:r>
      <w:r>
        <w:rPr>
          <w:rStyle w:val="Emphasis"/>
          <w:rFonts w:ascii="Times New Roman" w:hAnsi="Times New Roman"/>
          <w:caps w:val="false"/>
          <w:smallCaps w:val="false"/>
          <w:sz w:val="20"/>
          <w:shd w:fill="FFFFFF" w:val="clear"/>
        </w:rPr>
        <w:t>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Company’s KVK Warrant liability is measured at fair value on a recurring basis. As of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December 31, 2022, </w:t>
      </w:r>
      <w:r>
        <w:rPr>
          <w:rFonts w:ascii="Times New Roman" w:hAnsi="Times New Roman"/>
          <w:caps w:val="false"/>
          <w:smallCaps w:val="false"/>
          <w:sz w:val="20"/>
        </w:rPr>
        <w:t>the KVK Warrant liability is reported on the unaudited condensed consolidated balance sheets in derivative and warrant liability. The Company estimates the fair value of the KVK Warrant using a probability-weighted Black-Scholes option-pricing model, which requires the use of subjective assumptions, including the expected term of the warrant, the expected stock price volatility, expected dividend yield and the risk-free interest rate for the expected term of the warrant. The expected term represents the period of time the warrant is expected to be outstanding. For the KVK Warrant, the Company used an expected term equal to the contractual term of the warrant. Expected volatility is based on the Company's historical volatility since the IPO. The Company assumes </w:t>
      </w:r>
      <w:r>
        <w:rPr>
          <w:rStyle w:val="Emphasis"/>
          <w:rFonts w:ascii="Times New Roman" w:hAnsi="Times New Roman"/>
          <w:caps w:val="false"/>
          <w:smallCaps w:val="false"/>
          <w:sz w:val="20"/>
        </w:rPr>
        <w:t>no</w:t>
      </w:r>
      <w:r>
        <w:rPr>
          <w:rFonts w:ascii="Times New Roman" w:hAnsi="Times New Roman"/>
          <w:caps w:val="false"/>
          <w:smallCaps w:val="false"/>
          <w:sz w:val="20"/>
        </w:rPr>
        <w:t> dividend yield because dividends are </w:t>
      </w:r>
      <w:r>
        <w:rPr>
          <w:rStyle w:val="Emphasis"/>
          <w:rFonts w:ascii="Times New Roman" w:hAnsi="Times New Roman"/>
          <w:caps w:val="false"/>
          <w:smallCaps w:val="false"/>
          <w:sz w:val="20"/>
        </w:rPr>
        <w:t>not</w:t>
      </w:r>
      <w:r>
        <w:rPr>
          <w:rFonts w:ascii="Times New Roman" w:hAnsi="Times New Roman"/>
          <w:caps w:val="false"/>
          <w:smallCaps w:val="false"/>
          <w:sz w:val="20"/>
        </w:rPr>
        <w:t> expected to be paid in the near future, which is consistent with the Company’s history of </w:t>
      </w:r>
      <w:r>
        <w:rPr>
          <w:rStyle w:val="Emphasis"/>
          <w:rFonts w:ascii="Times New Roman" w:hAnsi="Times New Roman"/>
          <w:caps w:val="false"/>
          <w:smallCaps w:val="false"/>
          <w:sz w:val="20"/>
        </w:rPr>
        <w:t>not</w:t>
      </w:r>
      <w:r>
        <w:rPr>
          <w:rFonts w:ascii="Times New Roman" w:hAnsi="Times New Roman"/>
          <w:caps w:val="false"/>
          <w:smallCaps w:val="false"/>
          <w:sz w:val="20"/>
        </w:rPr>
        <w:t> paying dividends. Changes in the fair value of the KVK Warrant liability are reflected in the unaudited condensed consolidated statements of operations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as a fair value adjustment related to derivative and warrant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A reconciliation of the beginning and ending balances for the derivative and warrant liability measured at fair value on a recurring basis using significant unobservable inputs (Level </w:t>
      </w:r>
      <w:r>
        <w:rPr>
          <w:rStyle w:val="Emphasis"/>
          <w:rFonts w:ascii="Times New Roman" w:hAnsi="Times New Roman"/>
          <w:caps w:val="false"/>
          <w:smallCaps w:val="false"/>
          <w:sz w:val="20"/>
        </w:rPr>
        <w:t>3</w:t>
      </w:r>
      <w:r>
        <w:rPr>
          <w:rFonts w:ascii="Times New Roman" w:hAnsi="Times New Roman"/>
          <w:caps w:val="false"/>
          <w:smallCaps w:val="false"/>
          <w:sz w:val="20"/>
        </w:rPr>
        <w:t>) is as follows (in thousands):</w:t>
      </w:r>
    </w:p>
    <w:p>
      <w:pPr>
        <w:pStyle w:val="TextBody"/>
        <w:bidi w:val="0"/>
        <w:spacing w:before="0" w:after="0"/>
        <w:ind w:left="0" w:right="0" w:hanging="0"/>
        <w:jc w:val="both"/>
        <w:rPr/>
      </w:pPr>
      <w:r>
        <w:rPr/>
        <w:t> </w:t>
      </w:r>
    </w:p>
    <w:tbl>
      <w:tblPr>
        <w:tblW w:w="5489" w:type="dxa"/>
        <w:jc w:val="left"/>
        <w:tblInd w:w="0" w:type="dxa"/>
        <w:tblLayout w:type="fixed"/>
        <w:tblCellMar>
          <w:top w:w="0" w:type="dxa"/>
          <w:left w:w="0" w:type="dxa"/>
          <w:bottom w:w="0" w:type="dxa"/>
          <w:right w:w="0" w:type="dxa"/>
        </w:tblCellMar>
      </w:tblPr>
      <w:tblGrid>
        <w:gridCol w:w="2765"/>
        <w:gridCol w:w="60"/>
        <w:gridCol w:w="363"/>
        <w:gridCol w:w="363"/>
        <w:gridCol w:w="174"/>
        <w:gridCol w:w="174"/>
        <w:gridCol w:w="363"/>
        <w:gridCol w:w="1147"/>
        <w:gridCol w:w="80"/>
      </w:tblGrid>
      <w:tr>
        <w:trPr/>
        <w:tc>
          <w:tcPr>
            <w:tcW w:w="2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8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March 31,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7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15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as of beginning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36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6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1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36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4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306</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76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Adjustment to fair value</w:t>
            </w:r>
          </w:p>
        </w:tc>
        <w:tc>
          <w:tcPr>
            <w:tcW w:w="60" w:type="dxa"/>
            <w:tcBorders/>
            <w:shd w:fill="FFFFFF" w:val="clear"/>
            <w:vAlign w:val="center"/>
          </w:tcPr>
          <w:p>
            <w:pPr>
              <w:pStyle w:val="TableContents"/>
              <w:bidi w:val="0"/>
              <w:spacing w:before="0" w:after="0"/>
              <w:ind w:left="0" w:right="0" w:hanging="0"/>
              <w:jc w:val="left"/>
              <w:rPr/>
            </w:pPr>
            <w:r>
              <w:rPr/>
              <w:t> </w:t>
            </w:r>
          </w:p>
        </w:tc>
        <w:tc>
          <w:tcPr>
            <w:tcW w:w="36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6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w:t>
            </w:r>
          </w:p>
        </w:tc>
        <w:tc>
          <w:tcPr>
            <w:tcW w:w="17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74" w:type="dxa"/>
            <w:tcBorders/>
            <w:shd w:fill="FFFFFF" w:val="clear"/>
            <w:vAlign w:val="center"/>
          </w:tcPr>
          <w:p>
            <w:pPr>
              <w:pStyle w:val="TableContents"/>
              <w:bidi w:val="0"/>
              <w:spacing w:before="0" w:after="0"/>
              <w:ind w:left="0" w:right="0" w:hanging="0"/>
              <w:jc w:val="left"/>
              <w:rPr/>
            </w:pPr>
            <w:r>
              <w:rPr/>
              <w:t> </w:t>
            </w:r>
          </w:p>
        </w:tc>
        <w:tc>
          <w:tcPr>
            <w:tcW w:w="36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4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(305</w:t>
            </w:r>
          </w:p>
        </w:tc>
        <w:tc>
          <w:tcPr>
            <w:tcW w:w="80" w:type="dxa"/>
            <w:tcBorders>
              <w:bottom w:val="single" w:sz="2" w:space="0" w:color="000000"/>
            </w:tcBorders>
            <w:shd w:fill="FFFF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7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as of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3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6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3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jc w:val="center"/>
        <w:rPr/>
      </w:pPr>
      <w:r>
        <w:rPr>
          <w:rStyle w:val="Emphasis"/>
          <w:rFonts w:ascii="Times New Roman" w:hAnsi="Times New Roman"/>
          <w:sz w:val="20"/>
        </w:rPr>
        <w:t>21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2245" w:type="dxa"/>
        <w:jc w:val="left"/>
        <w:tblInd w:w="0" w:type="dxa"/>
        <w:tblLayout w:type="fixed"/>
        <w:tblCellMar>
          <w:top w:w="0" w:type="dxa"/>
          <w:left w:w="0" w:type="dxa"/>
          <w:bottom w:w="0" w:type="dxa"/>
          <w:right w:w="0" w:type="dxa"/>
        </w:tblCellMar>
      </w:tblPr>
      <w:tblGrid>
        <w:gridCol w:w="260"/>
        <w:gridCol w:w="1985"/>
      </w:tblGrid>
      <w:tr>
        <w:trPr/>
        <w:tc>
          <w:tcPr>
            <w:tcW w:w="260" w:type="dxa"/>
            <w:tcBorders/>
            <w:vAlign w:val="center"/>
          </w:tcPr>
          <w:p>
            <w:pPr>
              <w:pStyle w:val="TableContents"/>
              <w:bidi w:val="0"/>
              <w:spacing w:before="0" w:after="283"/>
              <w:jc w:val="left"/>
              <w:rPr>
                <w:b/>
              </w:rPr>
            </w:pPr>
            <w:r>
              <w:rPr>
                <w:b/>
              </w:rPr>
              <w:t>H.</w:t>
            </w:r>
          </w:p>
        </w:tc>
        <w:tc>
          <w:tcPr>
            <w:tcW w:w="1985" w:type="dxa"/>
            <w:tcBorders/>
            <w:vAlign w:val="center"/>
          </w:tcPr>
          <w:p>
            <w:pPr>
              <w:pStyle w:val="TableContents"/>
              <w:bidi w:val="0"/>
              <w:spacing w:before="0" w:after="283"/>
              <w:jc w:val="left"/>
              <w:rPr>
                <w:b/>
              </w:rPr>
            </w:pPr>
            <w:r>
              <w:rPr>
                <w:b/>
              </w:rPr>
              <w:t>Net Loss Per Share</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For all periods presented herein,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use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-class method to compute net loss attributable to common stockholders per share of common stock, even though it had issued securities, other than common stock, that contractually entitled the holders to participate in dividends and earnings, because these holders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obligated to participate in a loss. The </w:t>
      </w:r>
      <w:r>
        <w:rPr>
          <w:rStyle w:val="Emphasis"/>
          <w:rFonts w:ascii="Times New Roman" w:hAnsi="Times New Roman"/>
          <w:caps w:val="false"/>
          <w:smallCaps w:val="false"/>
          <w:sz w:val="20"/>
        </w:rPr>
        <w:t>two</w:t>
      </w:r>
      <w:r>
        <w:rPr>
          <w:rFonts w:ascii="Times New Roman" w:hAnsi="Times New Roman"/>
          <w:caps w:val="false"/>
          <w:smallCaps w:val="false"/>
          <w:sz w:val="20"/>
        </w:rPr>
        <w:t>-class method requires earnings for the period to be allocated between common stock and participating securities based upon their respective rights to receive distributed and undistributed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Under the </w:t>
      </w:r>
      <w:r>
        <w:rPr>
          <w:rStyle w:val="Emphasis"/>
          <w:rFonts w:ascii="Times New Roman" w:hAnsi="Times New Roman"/>
          <w:caps w:val="false"/>
          <w:smallCaps w:val="false"/>
          <w:sz w:val="20"/>
        </w:rPr>
        <w:t>two</w:t>
      </w:r>
      <w:r>
        <w:rPr>
          <w:rFonts w:ascii="Times New Roman" w:hAnsi="Times New Roman"/>
          <w:caps w:val="false"/>
          <w:smallCaps w:val="false"/>
          <w:sz w:val="20"/>
        </w:rPr>
        <w:t>-class method, for periods with net income attributable to common stockholders, basic net income attributable to common stockholders per share of common stock is computed by dividing the undistributed net income attributable to shares of common stockholders by the weighted average number of shares of common stock outstanding during the period. Undistributed net income attributable to shares of common stockholders is computed by subtracting from net income the portion of current period earnings that participating securities would have been entitled to receive pursuant to their dividend rights had all of the period’s earnings been distributed and subtracting the actual or deemed dividends declared. </w:t>
      </w:r>
      <w:r>
        <w:rPr>
          <w:rStyle w:val="Emphasis"/>
          <w:rFonts w:ascii="Times New Roman" w:hAnsi="Times New Roman"/>
          <w:caps w:val="false"/>
          <w:smallCaps w:val="false"/>
          <w:sz w:val="20"/>
        </w:rPr>
        <w:t>No</w:t>
      </w:r>
      <w:r>
        <w:rPr>
          <w:rFonts w:ascii="Times New Roman" w:hAnsi="Times New Roman"/>
          <w:caps w:val="false"/>
          <w:smallCaps w:val="false"/>
          <w:sz w:val="20"/>
        </w:rPr>
        <w:t> such adjustment to earnings is made during periods with a net loss as the holders of the participating securities have </w:t>
      </w:r>
      <w:r>
        <w:rPr>
          <w:rStyle w:val="Emphasis"/>
          <w:rFonts w:ascii="Times New Roman" w:hAnsi="Times New Roman"/>
          <w:caps w:val="false"/>
          <w:smallCaps w:val="false"/>
          <w:sz w:val="20"/>
        </w:rPr>
        <w:t>no</w:t>
      </w:r>
      <w:r>
        <w:rPr>
          <w:rFonts w:ascii="Times New Roman" w:hAnsi="Times New Roman"/>
          <w:caps w:val="false"/>
          <w:smallCaps w:val="false"/>
          <w:sz w:val="20"/>
        </w:rPr>
        <w:t> obligation to fund losses. Diluted net income attributable to common stockholders per share of common stock is computed under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-class method by using the weighted average number of shares of common stock outstanding plus the potential dilutive effects of stock options, warrants and other outstanding convertible securities. In addition to analyzing under the </w:t>
      </w:r>
      <w:r>
        <w:rPr>
          <w:rStyle w:val="Emphasis"/>
          <w:rFonts w:ascii="Times New Roman" w:hAnsi="Times New Roman"/>
          <w:caps w:val="false"/>
          <w:smallCaps w:val="false"/>
          <w:sz w:val="20"/>
        </w:rPr>
        <w:t>two</w:t>
      </w:r>
      <w:r>
        <w:rPr>
          <w:rFonts w:ascii="Times New Roman" w:hAnsi="Times New Roman"/>
          <w:caps w:val="false"/>
          <w:smallCaps w:val="false"/>
          <w:sz w:val="20"/>
        </w:rPr>
        <w:t>-class method, the Company analyzes the potential dilutive effect of stock options and warrants, under the treasury-stock method and other outstanding convertible securities under the if-converted method when calculating diluted income (loss) attributable to common stockholders per share of common stock, in which it is assumed that the stock options, warrants and other outstanding convertible securities convert into common stock at the beginning of the period or date of issuance, if the stock option, warrant or other outstanding convertible security was issued during the period. The Company reports the more dilutive of the approaches (</w:t>
      </w:r>
      <w:r>
        <w:rPr>
          <w:rStyle w:val="Emphasis"/>
          <w:rFonts w:ascii="Times New Roman" w:hAnsi="Times New Roman"/>
          <w:caps w:val="false"/>
          <w:smallCaps w:val="false"/>
          <w:sz w:val="20"/>
        </w:rPr>
        <w:t>two</w:t>
      </w:r>
      <w:r>
        <w:rPr>
          <w:rFonts w:ascii="Times New Roman" w:hAnsi="Times New Roman"/>
          <w:caps w:val="false"/>
          <w:smallCaps w:val="false"/>
          <w:sz w:val="20"/>
        </w:rPr>
        <w:t>-class or treasury-stock/if-converted) as its diluted net income (loss) attributable to common stockholders per share of common stock during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noted above, for all periods presented herein,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utilize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-class approach as the Company was in a net loss position and the holders of the participating securities have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obligation to fund losses. The Company did analyze diluted net loss attributable to common stockholders per share of common stock under the treasury-stock/if-converted method and noted that all outstanding stock options and warrants were anti-dilutive for the periods presented. For all periods presented, basic net loss attributable to common stockholders per share of common stock was the same as diluted net loss attributable to common stockholders per share of common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securities, presented on a common stock equivalent basis, have been excluded from the calculation of weighted average number of shares of common stock outstanding because their effect is anti-dilutive:</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612"/>
        <w:gridCol w:w="60"/>
        <w:gridCol w:w="72"/>
        <w:gridCol w:w="1154"/>
        <w:gridCol w:w="72"/>
        <w:gridCol w:w="72"/>
        <w:gridCol w:w="72"/>
        <w:gridCol w:w="1026"/>
        <w:gridCol w:w="65"/>
      </w:tblGrid>
      <w:tr>
        <w:trPr/>
        <w:tc>
          <w:tcPr>
            <w:tcW w:w="76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6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March 31,</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6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7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109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61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Awards under equity incentive plans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6,024,889</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2,186,769</w:t>
            </w:r>
          </w:p>
        </w:tc>
        <w:tc>
          <w:tcPr>
            <w:tcW w:w="65" w:type="dxa"/>
            <w:tcBorders/>
            <w:shd w:fill="CCEEFF" w:val="clear"/>
            <w:vAlign w:val="center"/>
          </w:tcPr>
          <w:p>
            <w:pPr>
              <w:pStyle w:val="TableContents"/>
              <w:bidi w:val="0"/>
              <w:spacing w:before="0" w:after="283"/>
              <w:ind w:left="0" w:right="0" w:hanging="0"/>
              <w:jc w:val="left"/>
              <w:rPr/>
            </w:pPr>
            <w:r>
              <w:rPr/>
              <w:t> </w:t>
            </w:r>
          </w:p>
        </w:tc>
      </w:tr>
      <w:tr>
        <w:trPr/>
        <w:tc>
          <w:tcPr>
            <w:tcW w:w="761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Common stock warrants</w:t>
            </w:r>
          </w:p>
        </w:tc>
        <w:tc>
          <w:tcPr>
            <w:tcW w:w="60" w:type="dxa"/>
            <w:tcBorders/>
            <w:shd w:fill="FFFFFF" w:val="clear"/>
            <w:vAlign w:val="center"/>
          </w:tcPr>
          <w:p>
            <w:pPr>
              <w:pStyle w:val="TableContents"/>
              <w:bidi w:val="0"/>
              <w:spacing w:before="0" w:after="0"/>
              <w:ind w:left="0" w:right="0" w:hanging="0"/>
              <w:jc w:val="left"/>
              <w:rPr/>
            </w:pPr>
            <w:r>
              <w:rPr/>
              <w:t> </w:t>
            </w:r>
          </w:p>
        </w:tc>
        <w:tc>
          <w:tcPr>
            <w:tcW w:w="7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5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4,252,490</w:t>
            </w:r>
          </w:p>
        </w:tc>
        <w:tc>
          <w:tcPr>
            <w:tcW w:w="7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2" w:type="dxa"/>
            <w:tcBorders/>
            <w:shd w:fill="FFFFFF" w:val="clear"/>
            <w:vAlign w:val="center"/>
          </w:tcPr>
          <w:p>
            <w:pPr>
              <w:pStyle w:val="TableContents"/>
              <w:bidi w:val="0"/>
              <w:spacing w:before="0" w:after="0"/>
              <w:ind w:left="0" w:right="0" w:hanging="0"/>
              <w:jc w:val="left"/>
              <w:rPr/>
            </w:pPr>
            <w:r>
              <w:rPr/>
              <w:t> </w:t>
            </w:r>
          </w:p>
        </w:tc>
        <w:tc>
          <w:tcPr>
            <w:tcW w:w="7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2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4,252,600</w:t>
            </w:r>
          </w:p>
        </w:tc>
        <w:tc>
          <w:tcPr>
            <w:tcW w:w="65"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761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securities excluded from the calculation of weighted average number of shares of common stock outstanding</w:t>
            </w:r>
          </w:p>
        </w:tc>
        <w:tc>
          <w:tcPr>
            <w:tcW w:w="60" w:type="dxa"/>
            <w:tcBorders/>
            <w:shd w:fill="CCEEFF" w:val="clear"/>
            <w:vAlign w:val="center"/>
          </w:tcPr>
          <w:p>
            <w:pPr>
              <w:pStyle w:val="TableContents"/>
              <w:bidi w:val="0"/>
              <w:spacing w:before="0" w:after="283"/>
              <w:jc w:val="left"/>
              <w:rPr/>
            </w:pPr>
            <w:r>
              <w:rPr/>
              <w:t> </w:t>
            </w:r>
          </w:p>
        </w:tc>
        <w:tc>
          <w:tcPr>
            <w:tcW w:w="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10,277,379</w:t>
            </w:r>
          </w:p>
        </w:tc>
        <w:tc>
          <w:tcPr>
            <w:tcW w:w="7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6,439,369</w:t>
            </w:r>
          </w:p>
        </w:tc>
        <w:tc>
          <w:tcPr>
            <w:tcW w:w="6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A reconciliation from net loss to basic and diluted net loss attributable to common stockholders per share of common stock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March 31,</w:t>
      </w:r>
      <w:r>
        <w:rPr>
          <w:rFonts w:ascii="Times New Roman;Times;serif" w:hAnsi="Times New Roman;Times;serif"/>
          <w:sz w:val="20"/>
        </w:rPr>
        <w:t xml:space="preserve"> </w:t>
      </w:r>
      <w:r>
        <w:rPr>
          <w:rStyle w:val="Emphasis"/>
          <w:rFonts w:ascii="Times New Roman;Times;serif" w:hAnsi="Times New Roman;Times;serif"/>
          <w:sz w:val="20"/>
        </w:rPr>
        <w:t>2023,</w:t>
      </w:r>
      <w:r>
        <w:rPr>
          <w:rFonts w:ascii="Times New Roman;Times;serif" w:hAnsi="Times New Roman;Times;serif"/>
          <w:sz w:val="20"/>
        </w:rPr>
        <w:t> and </w:t>
      </w:r>
      <w:r>
        <w:rPr>
          <w:rStyle w:val="Emphasis"/>
          <w:rFonts w:ascii="Times New Roman;Times;serif" w:hAnsi="Times New Roman;Times;serif"/>
          <w:sz w:val="20"/>
        </w:rPr>
        <w:t>2022,</w:t>
      </w:r>
      <w:r>
        <w:rPr>
          <w:rFonts w:ascii="Times New Roman;Times;serif" w:hAnsi="Times New Roman;Times;serif"/>
          <w:sz w:val="20"/>
        </w:rPr>
        <w:t xml:space="preserve"> is as follows (in thousands):</w:t>
      </w:r>
    </w:p>
    <w:p>
      <w:pPr>
        <w:pStyle w:val="TextBody"/>
        <w:bidi w:val="0"/>
        <w:spacing w:before="0" w:after="0"/>
        <w:ind w:left="0" w:right="0" w:hanging="0"/>
        <w:jc w:val="left"/>
        <w:rPr/>
      </w:pPr>
      <w:r>
        <w:rPr/>
        <w:t> </w:t>
      </w:r>
    </w:p>
    <w:tbl>
      <w:tblPr>
        <w:tblW w:w="10062" w:type="dxa"/>
        <w:jc w:val="left"/>
        <w:tblInd w:w="0" w:type="dxa"/>
        <w:tblLayout w:type="fixed"/>
        <w:tblCellMar>
          <w:top w:w="0" w:type="dxa"/>
          <w:left w:w="0" w:type="dxa"/>
          <w:bottom w:w="0" w:type="dxa"/>
          <w:right w:w="0" w:type="dxa"/>
        </w:tblCellMar>
      </w:tblPr>
      <w:tblGrid>
        <w:gridCol w:w="7340"/>
        <w:gridCol w:w="60"/>
        <w:gridCol w:w="198"/>
        <w:gridCol w:w="1030"/>
        <w:gridCol w:w="126"/>
        <w:gridCol w:w="95"/>
        <w:gridCol w:w="198"/>
        <w:gridCol w:w="935"/>
        <w:gridCol w:w="80"/>
      </w:tblGrid>
      <w:tr>
        <w:trPr/>
        <w:tc>
          <w:tcPr>
            <w:tcW w:w="7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March 31,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2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1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34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Net loss per share of common stock:</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3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9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3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(11,767</w:t>
            </w:r>
          </w:p>
        </w:tc>
        <w:tc>
          <w:tcPr>
            <w:tcW w:w="12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center"/>
          </w:tcPr>
          <w:p>
            <w:pPr>
              <w:pStyle w:val="TableContents"/>
              <w:bidi w:val="0"/>
              <w:spacing w:before="0" w:after="283"/>
              <w:ind w:left="0" w:right="0" w:hanging="0"/>
              <w:jc w:val="left"/>
              <w:rPr/>
            </w:pPr>
            <w:r>
              <w:rPr/>
              <w:t> </w:t>
            </w:r>
          </w:p>
        </w:tc>
        <w:tc>
          <w:tcPr>
            <w:tcW w:w="19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(1,864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34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Less: Dividends declared or accumulated</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2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34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Undistributed net loss attributable to shares of common stockholders, basic and 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(11,767</w:t>
            </w:r>
          </w:p>
        </w:tc>
        <w:tc>
          <w:tcPr>
            <w:tcW w:w="126"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center"/>
          </w:tcPr>
          <w:p>
            <w:pPr>
              <w:pStyle w:val="TableContents"/>
              <w:bidi w:val="0"/>
              <w:spacing w:before="0" w:after="283"/>
              <w:ind w:left="0" w:right="0" w:hanging="0"/>
              <w:jc w:val="left"/>
              <w:rPr/>
            </w:pPr>
            <w:r>
              <w:rPr/>
              <w:t> </w:t>
            </w:r>
          </w:p>
        </w:tc>
        <w:tc>
          <w:tcPr>
            <w:tcW w:w="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(1,864</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b/>
                <w:sz w:val="20"/>
              </w:rPr>
            </w:pPr>
            <w:r>
              <w:rPr>
                <w:rFonts w:ascii="Times New Roman" w:hAnsi="Times New Roman"/>
                <w:b/>
                <w:sz w:val="20"/>
              </w:rPr>
              <w:t>)</w:t>
            </w:r>
          </w:p>
        </w:tc>
      </w:tr>
      <w:tr>
        <w:trPr/>
        <w:tc>
          <w:tcPr>
            <w:tcW w:w="73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Weighted average number of shares of common stock outstanding, basic and diluted</w:t>
            </w:r>
          </w:p>
        </w:tc>
        <w:tc>
          <w:tcPr>
            <w:tcW w:w="60" w:type="dxa"/>
            <w:tcBorders/>
            <w:shd w:fill="FFFFFF" w:val="clear"/>
            <w:vAlign w:val="center"/>
          </w:tcPr>
          <w:p>
            <w:pPr>
              <w:pStyle w:val="TableContents"/>
              <w:bidi w:val="0"/>
              <w:spacing w:before="0" w:after="0"/>
              <w:ind w:left="0" w:right="0" w:hanging="0"/>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3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34,467</w:t>
            </w:r>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 w:type="dxa"/>
            <w:tcBorders/>
            <w:shd w:fill="FFFFFF" w:val="clear"/>
            <w:vAlign w:val="center"/>
          </w:tcPr>
          <w:p>
            <w:pPr>
              <w:pStyle w:val="TableContents"/>
              <w:bidi w:val="0"/>
              <w:spacing w:before="0" w:after="0"/>
              <w:ind w:left="0" w:right="0" w:hanging="0"/>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3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34,507</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73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Basic and diluted net loss attributable to common stockholders per share of common stock</w:t>
            </w:r>
          </w:p>
        </w:tc>
        <w:tc>
          <w:tcPr>
            <w:tcW w:w="60" w:type="dxa"/>
            <w:tcBorders/>
            <w:shd w:fill="CCEEFF" w:val="clear"/>
            <w:vAlign w:val="center"/>
          </w:tcPr>
          <w:p>
            <w:pPr>
              <w:pStyle w:val="TableContents"/>
              <w:bidi w:val="0"/>
              <w:spacing w:before="0" w:after="0"/>
              <w:ind w:left="0" w:right="0" w:hanging="0"/>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(0.34</w:t>
            </w:r>
          </w:p>
        </w:tc>
        <w:tc>
          <w:tcPr>
            <w:tcW w:w="126" w:type="dxa"/>
            <w:tcBorders>
              <w:bottom w:val="double" w:sz="6" w:space="0" w:color="000000"/>
            </w:tcBorders>
            <w:shd w:fill="CCEEFF" w:val="clear"/>
            <w:tcMar>
              <w:bottom w:w="45"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5" w:type="dxa"/>
            <w:tcBorders/>
            <w:shd w:fill="CCEEFF" w:val="clear"/>
            <w:vAlign w:val="center"/>
          </w:tcPr>
          <w:p>
            <w:pPr>
              <w:pStyle w:val="TableContents"/>
              <w:bidi w:val="0"/>
              <w:spacing w:before="0" w:after="0"/>
              <w:ind w:left="0" w:right="0" w:hanging="0"/>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(0.05</w:t>
            </w:r>
          </w:p>
        </w:tc>
        <w:tc>
          <w:tcPr>
            <w:tcW w:w="80" w:type="dxa"/>
            <w:tcBorders>
              <w:bottom w:val="double" w:sz="6" w:space="0" w:color="000000"/>
            </w:tcBorders>
            <w:shd w:fill="CCEEFF" w:val="clear"/>
            <w:tcMar>
              <w:bottom w:w="45"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olor w:val="000000"/>
        </w:rPr>
      </w:pPr>
      <w:r>
        <w:rPr>
          <w:color w:val="000000"/>
        </w:rPr>
        <w:t> </w:t>
      </w:r>
    </w:p>
    <w:p>
      <w:pPr>
        <w:pStyle w:val="TextBody"/>
        <w:bidi w:val="0"/>
        <w:spacing w:before="0" w:after="0"/>
        <w:jc w:val="center"/>
        <w:rPr/>
      </w:pPr>
      <w:r>
        <w:rPr>
          <w:rStyle w:val="Emphasis"/>
          <w:rFonts w:ascii="Times New Roman" w:hAnsi="Times New Roman"/>
          <w:sz w:val="20"/>
        </w:rPr>
        <w:t>22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865" w:type="dxa"/>
        <w:jc w:val="left"/>
        <w:tblInd w:w="0" w:type="dxa"/>
        <w:tblLayout w:type="fixed"/>
        <w:tblCellMar>
          <w:top w:w="0" w:type="dxa"/>
          <w:left w:w="0" w:type="dxa"/>
          <w:bottom w:w="0" w:type="dxa"/>
          <w:right w:w="0" w:type="dxa"/>
        </w:tblCellMar>
      </w:tblPr>
      <w:tblGrid>
        <w:gridCol w:w="170"/>
        <w:gridCol w:w="695"/>
      </w:tblGrid>
      <w:tr>
        <w:trPr/>
        <w:tc>
          <w:tcPr>
            <w:tcW w:w="170" w:type="dxa"/>
            <w:tcBorders/>
            <w:vAlign w:val="center"/>
          </w:tcPr>
          <w:p>
            <w:pPr>
              <w:pStyle w:val="TableContents"/>
              <w:bidi w:val="0"/>
              <w:spacing w:before="0" w:after="283"/>
              <w:jc w:val="left"/>
              <w:rPr>
                <w:b/>
              </w:rPr>
            </w:pPr>
            <w:r>
              <w:rPr>
                <w:b/>
              </w:rPr>
              <w:t>I.</w:t>
            </w:r>
          </w:p>
        </w:tc>
        <w:tc>
          <w:tcPr>
            <w:tcW w:w="695" w:type="dxa"/>
            <w:tcBorders/>
            <w:vAlign w:val="center"/>
          </w:tcPr>
          <w:p>
            <w:pPr>
              <w:pStyle w:val="TableContents"/>
              <w:bidi w:val="0"/>
              <w:spacing w:before="0" w:after="283"/>
              <w:jc w:val="left"/>
              <w:rPr>
                <w:b/>
              </w:rPr>
            </w:pPr>
            <w:r>
              <w:rPr>
                <w:b/>
              </w:rPr>
              <w:t>Leases</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 Company has operating and finance leases for office space, laboratory facilities and various laboratory equipment, furniture and office equipment and leasehold improvements. The Company determines if an arrangement is a lease at contract inception. Lease assets and lease liabilities are recognized based on the present value of lease payments over the lease term at the commencement date. The Company does </w:t>
      </w:r>
      <w:r>
        <w:rPr>
          <w:rStyle w:val="Emphasis"/>
          <w:rFonts w:ascii="Times New Roman;Times;serif" w:hAnsi="Times New Roman;Times;serif"/>
          <w:sz w:val="20"/>
        </w:rPr>
        <w:t>not</w:t>
      </w:r>
      <w:r>
        <w:rPr>
          <w:rFonts w:ascii="Times New Roman;Times;serif" w:hAnsi="Times New Roman;Times;serif"/>
          <w:sz w:val="20"/>
        </w:rPr>
        <w:t xml:space="preserve"> separate lease and non-lease components. Leases with a term of </w:t>
      </w:r>
      <w:r>
        <w:rPr>
          <w:rStyle w:val="Emphasis"/>
          <w:rFonts w:ascii="Times New Roman;Times;serif" w:hAnsi="Times New Roman;Times;serif"/>
          <w:sz w:val="20"/>
        </w:rPr>
        <w:t>12</w:t>
      </w:r>
      <w:r>
        <w:rPr>
          <w:rFonts w:ascii="Times New Roman;Times;serif" w:hAnsi="Times New Roman;Times;serif"/>
          <w:sz w:val="20"/>
        </w:rPr>
        <w:t xml:space="preserve"> months or less at commencement are </w:t>
      </w:r>
      <w:r>
        <w:rPr>
          <w:rStyle w:val="Emphasis"/>
          <w:rFonts w:ascii="Times New Roman;Times;serif" w:hAnsi="Times New Roman;Times;serif"/>
          <w:sz w:val="20"/>
        </w:rPr>
        <w:t>not</w:t>
      </w:r>
      <w:r>
        <w:rPr>
          <w:rFonts w:ascii="Times New Roman;Times;serif" w:hAnsi="Times New Roman;Times;serif"/>
          <w:sz w:val="20"/>
        </w:rPr>
        <w:t xml:space="preserve"> recorded on the unaudited condensed consolidated balance sheets. Lease expense for these arrangements is recognized on a straight-line bases over the lease term. The Company's leases have remaining lease terms of less than 1 year to approximately 3 years, some of which include options to extend the leases for up to 5 years, and some which include options to terminate the leases within 1 year.</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Effective </w:t>
      </w:r>
      <w:r>
        <w:rPr>
          <w:rStyle w:val="Emphasis"/>
          <w:rFonts w:ascii="Times New Roman;Times;serif" w:hAnsi="Times New Roman;Times;serif"/>
          <w:sz w:val="20"/>
        </w:rPr>
        <w:t xml:space="preserve"> June 1, 2021, </w:t>
      </w:r>
      <w:r>
        <w:rPr>
          <w:rFonts w:ascii="Times New Roman;Times;serif" w:hAnsi="Times New Roman;Times;serif"/>
          <w:sz w:val="20"/>
        </w:rPr>
        <w:t>the Company agreed to sublease office space in Florida, comprised of </w:t>
      </w:r>
      <w:r>
        <w:rPr>
          <w:rStyle w:val="Emphasis"/>
          <w:rFonts w:ascii="Times New Roman;Times;serif" w:hAnsi="Times New Roman;Times;serif"/>
          <w:sz w:val="20"/>
        </w:rPr>
        <w:t>one</w:t>
      </w:r>
      <w:r>
        <w:rPr>
          <w:rFonts w:ascii="Times New Roman;Times;serif" w:hAnsi="Times New Roman;Times;serif"/>
          <w:sz w:val="20"/>
        </w:rPr>
        <w:t> of the </w:t>
      </w:r>
      <w:r>
        <w:rPr>
          <w:rStyle w:val="Emphasis"/>
          <w:rFonts w:ascii="Times New Roman;Times;serif" w:hAnsi="Times New Roman;Times;serif"/>
          <w:sz w:val="20"/>
        </w:rPr>
        <w:t>two</w:t>
      </w:r>
      <w:r>
        <w:rPr>
          <w:rFonts w:ascii="Times New Roman;Times;serif" w:hAnsi="Times New Roman;Times;serif"/>
          <w:sz w:val="20"/>
        </w:rPr>
        <w:t> contiguous suites, under a non-cancelable operating lease, which expires in </w:t>
      </w:r>
      <w:r>
        <w:rPr>
          <w:rStyle w:val="Emphasis"/>
          <w:rFonts w:ascii="Times New Roman;Times;serif" w:hAnsi="Times New Roman;Times;serif"/>
          <w:sz w:val="20"/>
        </w:rPr>
        <w:t xml:space="preserve"> February 2026.</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components of lease expense were as follows (in thousands): </w:t>
      </w:r>
    </w:p>
    <w:p>
      <w:pPr>
        <w:pStyle w:val="TextBody"/>
        <w:bidi w:val="0"/>
        <w:spacing w:before="0" w:after="0"/>
        <w:ind w:left="0" w:right="0" w:hanging="0"/>
        <w:jc w:val="both"/>
        <w:rPr/>
      </w:pPr>
      <w:r>
        <w:rPr/>
        <w:t> </w:t>
      </w:r>
    </w:p>
    <w:tbl>
      <w:tblPr>
        <w:tblW w:w="5711" w:type="dxa"/>
        <w:jc w:val="left"/>
        <w:tblInd w:w="0" w:type="dxa"/>
        <w:tblLayout w:type="fixed"/>
        <w:tblCellMar>
          <w:top w:w="0" w:type="dxa"/>
          <w:left w:w="0" w:type="dxa"/>
          <w:bottom w:w="0" w:type="dxa"/>
          <w:right w:w="0" w:type="dxa"/>
        </w:tblCellMar>
      </w:tblPr>
      <w:tblGrid>
        <w:gridCol w:w="2990"/>
        <w:gridCol w:w="60"/>
        <w:gridCol w:w="304"/>
        <w:gridCol w:w="816"/>
        <w:gridCol w:w="195"/>
        <w:gridCol w:w="146"/>
        <w:gridCol w:w="304"/>
        <w:gridCol w:w="816"/>
        <w:gridCol w:w="80"/>
      </w:tblGrid>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8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March 31,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9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Lease Cost</w:t>
            </w:r>
          </w:p>
        </w:tc>
        <w:tc>
          <w:tcPr>
            <w:tcW w:w="60" w:type="dxa"/>
            <w:tcBorders/>
            <w:shd w:fill="FFFFFF" w:val="clear"/>
            <w:vAlign w:val="center"/>
          </w:tcPr>
          <w:p>
            <w:pPr>
              <w:pStyle w:val="TableContents"/>
              <w:bidi w:val="0"/>
              <w:spacing w:before="0" w:after="283"/>
              <w:ind w:left="0" w:right="0" w:hanging="0"/>
              <w:jc w:val="left"/>
              <w:rPr/>
            </w:pPr>
            <w:r>
              <w:rPr/>
              <w:t> </w:t>
            </w:r>
          </w:p>
        </w:tc>
        <w:tc>
          <w:tcPr>
            <w:tcW w:w="11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11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Finance lease cost:</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180" w:right="180" w:hanging="0"/>
              <w:jc w:val="left"/>
              <w:rPr>
                <w:rFonts w:ascii="Times New Roman" w:hAnsi="Times New Roman"/>
                <w:sz w:val="20"/>
              </w:rPr>
            </w:pPr>
            <w:r>
              <w:rPr>
                <w:rFonts w:ascii="Times New Roman" w:hAnsi="Times New Roman"/>
                <w:sz w:val="20"/>
              </w:rPr>
              <w:t>Amortization of right-of-use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30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w:t>
            </w:r>
          </w:p>
        </w:tc>
        <w:tc>
          <w:tcPr>
            <w:tcW w:w="19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30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w:t>
            </w:r>
          </w:p>
        </w:tc>
        <w:tc>
          <w:tcPr>
            <w:tcW w:w="8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180" w:right="180" w:hanging="0"/>
              <w:jc w:val="left"/>
              <w:rPr>
                <w:rFonts w:ascii="Times New Roman" w:hAnsi="Times New Roman"/>
                <w:sz w:val="20"/>
              </w:rPr>
            </w:pPr>
            <w:r>
              <w:rPr>
                <w:rFonts w:ascii="Times New Roman" w:hAnsi="Times New Roman"/>
                <w:sz w:val="20"/>
              </w:rPr>
              <w:t>Interest on lease liabilities</w:t>
            </w:r>
          </w:p>
        </w:tc>
        <w:tc>
          <w:tcPr>
            <w:tcW w:w="60" w:type="dxa"/>
            <w:tcBorders/>
            <w:shd w:fill="CCEEFF" w:val="clear"/>
            <w:vAlign w:val="center"/>
          </w:tcPr>
          <w:p>
            <w:pPr>
              <w:pStyle w:val="TableContents"/>
              <w:bidi w:val="0"/>
              <w:spacing w:before="0" w:after="283"/>
              <w:jc w:val="left"/>
              <w:rPr/>
            </w:pPr>
            <w:r>
              <w:rPr/>
              <w:t> </w:t>
            </w:r>
          </w:p>
        </w:tc>
        <w:tc>
          <w:tcPr>
            <w:tcW w:w="3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360" w:right="360" w:hanging="0"/>
              <w:jc w:val="left"/>
              <w:rPr>
                <w:rFonts w:ascii="Times New Roman" w:hAnsi="Times New Roman"/>
                <w:caps w:val="false"/>
                <w:smallCaps w:val="false"/>
                <w:sz w:val="20"/>
              </w:rPr>
            </w:pPr>
            <w:r>
              <w:rPr>
                <w:rFonts w:ascii="Times New Roman" w:hAnsi="Times New Roman"/>
                <w:caps w:val="false"/>
                <w:smallCaps w:val="false"/>
                <w:sz w:val="20"/>
              </w:rPr>
              <w:t>Total finance lease cost</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w:t>
            </w:r>
          </w:p>
        </w:tc>
        <w:tc>
          <w:tcPr>
            <w:tcW w:w="19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w:t>
            </w:r>
          </w:p>
        </w:tc>
        <w:tc>
          <w:tcPr>
            <w:tcW w:w="8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lease cost</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w:t>
            </w:r>
          </w:p>
        </w:tc>
        <w:tc>
          <w:tcPr>
            <w:tcW w:w="195"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w:t>
            </w:r>
          </w:p>
        </w:tc>
        <w:tc>
          <w:tcPr>
            <w:tcW w:w="8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Short-term lease cost</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w:t>
            </w:r>
          </w:p>
        </w:tc>
        <w:tc>
          <w:tcPr>
            <w:tcW w:w="19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w:t>
            </w:r>
          </w:p>
        </w:tc>
        <w:tc>
          <w:tcPr>
            <w:tcW w:w="8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Variable lease cost</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w:t>
            </w:r>
          </w:p>
        </w:tc>
        <w:tc>
          <w:tcPr>
            <w:tcW w:w="195"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w:t>
            </w:r>
          </w:p>
        </w:tc>
        <w:tc>
          <w:tcPr>
            <w:tcW w:w="8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Less: sublease income</w:t>
            </w:r>
          </w:p>
        </w:tc>
        <w:tc>
          <w:tcPr>
            <w:tcW w:w="60" w:type="dxa"/>
            <w:tcBorders/>
            <w:shd w:fill="FFFFFF" w:val="clear"/>
            <w:vAlign w:val="center"/>
          </w:tcPr>
          <w:p>
            <w:pPr>
              <w:pStyle w:val="TableContents"/>
              <w:bidi w:val="0"/>
              <w:spacing w:before="0" w:after="283"/>
              <w:jc w:val="left"/>
              <w:rPr/>
            </w:pPr>
            <w:r>
              <w:rPr/>
              <w:t> </w:t>
            </w:r>
          </w:p>
        </w:tc>
        <w:tc>
          <w:tcPr>
            <w:tcW w:w="3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w:t>
            </w:r>
          </w:p>
        </w:tc>
        <w:tc>
          <w:tcPr>
            <w:tcW w:w="19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46" w:type="dxa"/>
            <w:tcBorders/>
            <w:shd w:fill="FFFFFF" w:val="clear"/>
            <w:vAlign w:val="center"/>
          </w:tcPr>
          <w:p>
            <w:pPr>
              <w:pStyle w:val="TableContents"/>
              <w:bidi w:val="0"/>
              <w:spacing w:before="0" w:after="283"/>
              <w:jc w:val="left"/>
              <w:rPr/>
            </w:pPr>
            <w:r>
              <w:rPr/>
              <w:t> </w:t>
            </w:r>
          </w:p>
        </w:tc>
        <w:tc>
          <w:tcPr>
            <w:tcW w:w="3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9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lease costs</w:t>
            </w:r>
          </w:p>
        </w:tc>
        <w:tc>
          <w:tcPr>
            <w:tcW w:w="60" w:type="dxa"/>
            <w:tcBorders/>
            <w:shd w:fill="CCEEFF" w:val="clear"/>
            <w:vAlign w:val="center"/>
          </w:tcPr>
          <w:p>
            <w:pPr>
              <w:pStyle w:val="TableContents"/>
              <w:bidi w:val="0"/>
              <w:spacing w:before="0" w:after="283"/>
              <w:ind w:left="0" w:right="0" w:hanging="0"/>
              <w:jc w:val="left"/>
              <w:rPr/>
            </w:pPr>
            <w:r>
              <w:rPr/>
              <w:t> </w:t>
            </w:r>
          </w:p>
        </w:tc>
        <w:tc>
          <w:tcPr>
            <w:tcW w:w="3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174</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3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Supplemental cash flow information related to leases was as follows (in thousands):</w:t>
      </w:r>
    </w:p>
    <w:p>
      <w:pPr>
        <w:pStyle w:val="TextBody"/>
        <w:bidi w:val="0"/>
        <w:spacing w:before="0" w:after="0"/>
        <w:ind w:left="150" w:right="150" w:hanging="0"/>
        <w:jc w:val="left"/>
        <w:rPr/>
      </w:pPr>
      <w:r>
        <w:rPr/>
        <w:t> </w:t>
      </w:r>
    </w:p>
    <w:tbl>
      <w:tblPr>
        <w:tblW w:w="8467" w:type="dxa"/>
        <w:jc w:val="left"/>
        <w:tblInd w:w="0" w:type="dxa"/>
        <w:tblLayout w:type="fixed"/>
        <w:tblCellMar>
          <w:top w:w="0" w:type="dxa"/>
          <w:left w:w="0" w:type="dxa"/>
          <w:bottom w:w="0" w:type="dxa"/>
          <w:right w:w="0" w:type="dxa"/>
        </w:tblCellMar>
      </w:tblPr>
      <w:tblGrid>
        <w:gridCol w:w="5765"/>
        <w:gridCol w:w="60"/>
        <w:gridCol w:w="310"/>
        <w:gridCol w:w="832"/>
        <w:gridCol w:w="149"/>
        <w:gridCol w:w="149"/>
        <w:gridCol w:w="310"/>
        <w:gridCol w:w="832"/>
        <w:gridCol w:w="60"/>
      </w:tblGrid>
      <w:tr>
        <w:trPr/>
        <w:tc>
          <w:tcPr>
            <w:tcW w:w="5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March 31,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4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11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paid for amounts included in the measurement of lease liabilities:</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180" w:right="180" w:hanging="0"/>
              <w:jc w:val="left"/>
              <w:rPr>
                <w:rFonts w:ascii="Times New Roman" w:hAnsi="Times New Roman"/>
                <w:sz w:val="20"/>
              </w:rPr>
            </w:pPr>
            <w:r>
              <w:rPr>
                <w:rFonts w:ascii="Times New Roman" w:hAnsi="Times New Roman"/>
                <w:sz w:val="20"/>
              </w:rPr>
              <w:t>Operating cash flows from finance leases</w:t>
            </w:r>
          </w:p>
        </w:tc>
        <w:tc>
          <w:tcPr>
            <w:tcW w:w="60"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32" w:type="dxa"/>
            <w:tcBorders/>
            <w:shd w:fill="FFFFFF" w:val="clear"/>
            <w:vAlign w:val="center"/>
          </w:tcPr>
          <w:p>
            <w:pPr>
              <w:pStyle w:val="TableContents"/>
              <w:bidi w:val="0"/>
              <w:spacing w:before="0" w:after="283"/>
              <w:jc w:val="right"/>
              <w:rPr/>
            </w:pPr>
            <w:r>
              <w:rPr/>
              <w:t>—</w:t>
            </w:r>
          </w:p>
        </w:tc>
        <w:tc>
          <w:tcPr>
            <w:tcW w:w="14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3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w:t>
            </w:r>
          </w:p>
        </w:tc>
        <w:tc>
          <w:tcPr>
            <w:tcW w:w="6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180" w:right="180" w:hanging="0"/>
              <w:jc w:val="left"/>
              <w:rPr>
                <w:rFonts w:ascii="Times New Roman" w:hAnsi="Times New Roman"/>
                <w:sz w:val="20"/>
              </w:rPr>
            </w:pPr>
            <w:r>
              <w:rPr>
                <w:rFonts w:ascii="Times New Roman" w:hAnsi="Times New Roman"/>
                <w:sz w:val="20"/>
              </w:rPr>
              <w:t>Financing cash flows from finance leases</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w:t>
            </w:r>
          </w:p>
        </w:tc>
        <w:tc>
          <w:tcPr>
            <w:tcW w:w="149"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w:t>
            </w:r>
          </w:p>
        </w:tc>
        <w:tc>
          <w:tcPr>
            <w:tcW w:w="60"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180" w:right="180" w:hanging="0"/>
              <w:jc w:val="left"/>
              <w:rPr>
                <w:rFonts w:ascii="Times New Roman" w:hAnsi="Times New Roman"/>
                <w:sz w:val="20"/>
              </w:rPr>
            </w:pPr>
            <w:r>
              <w:rPr>
                <w:rFonts w:ascii="Times New Roman" w:hAnsi="Times New Roman"/>
                <w:sz w:val="20"/>
              </w:rPr>
              <w:t>Operating cash flows from operating leases</w:t>
            </w:r>
          </w:p>
        </w:tc>
        <w:tc>
          <w:tcPr>
            <w:tcW w:w="60"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142</w:t>
            </w:r>
          </w:p>
        </w:tc>
        <w:tc>
          <w:tcPr>
            <w:tcW w:w="14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117</w:t>
            </w:r>
          </w:p>
        </w:tc>
        <w:tc>
          <w:tcPr>
            <w:tcW w:w="6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180" w:right="180" w:hanging="0"/>
              <w:jc w:val="left"/>
              <w:rPr>
                <w:rFonts w:ascii="Times New Roman" w:hAnsi="Times New Roman"/>
                <w:sz w:val="20"/>
              </w:rPr>
            </w:pPr>
            <w:r>
              <w:rPr>
                <w:rFonts w:ascii="Times New Roman" w:hAnsi="Times New Roman"/>
                <w:sz w:val="20"/>
              </w:rPr>
              <w:t>Operating cash flows from short-term leases</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55</w:t>
            </w:r>
          </w:p>
        </w:tc>
        <w:tc>
          <w:tcPr>
            <w:tcW w:w="149"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50</w:t>
            </w:r>
          </w:p>
        </w:tc>
        <w:tc>
          <w:tcPr>
            <w:tcW w:w="60"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180" w:right="180" w:hanging="0"/>
              <w:jc w:val="left"/>
              <w:rPr>
                <w:rFonts w:ascii="Times New Roman" w:hAnsi="Times New Roman"/>
                <w:sz w:val="20"/>
              </w:rPr>
            </w:pPr>
            <w:r>
              <w:rPr>
                <w:rFonts w:ascii="Times New Roman" w:hAnsi="Times New Roman"/>
                <w:sz w:val="20"/>
              </w:rPr>
              <w:t>Operating cash flows from variable lease costs</w:t>
            </w:r>
          </w:p>
        </w:tc>
        <w:tc>
          <w:tcPr>
            <w:tcW w:w="60"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w:t>
            </w:r>
          </w:p>
        </w:tc>
        <w:tc>
          <w:tcPr>
            <w:tcW w:w="14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w:t>
            </w:r>
          </w:p>
        </w:tc>
        <w:tc>
          <w:tcPr>
            <w:tcW w:w="6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Right-of-use assets obtained in exchange for lease liabilities:</w:t>
            </w:r>
          </w:p>
        </w:tc>
        <w:tc>
          <w:tcPr>
            <w:tcW w:w="60"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Finance leases</w:t>
            </w:r>
          </w:p>
        </w:tc>
        <w:tc>
          <w:tcPr>
            <w:tcW w:w="60" w:type="dxa"/>
            <w:tcBorders/>
            <w:shd w:fill="CCEEFF" w:val="clear"/>
            <w:vAlign w:val="center"/>
          </w:tcPr>
          <w:p>
            <w:pPr>
              <w:pStyle w:val="TableContents"/>
              <w:bidi w:val="0"/>
              <w:spacing w:before="0" w:after="283"/>
              <w:ind w:left="0" w:right="0" w:hanging="0"/>
              <w:jc w:val="left"/>
              <w:rPr/>
            </w:pPr>
            <w:r>
              <w:rPr/>
              <w:t> </w:t>
            </w:r>
          </w:p>
        </w:tc>
        <w:tc>
          <w:tcPr>
            <w:tcW w:w="31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2" w:type="dxa"/>
            <w:tcBorders/>
            <w:shd w:fill="CCEEFF" w:val="clear"/>
            <w:vAlign w:val="center"/>
          </w:tcPr>
          <w:p>
            <w:pPr>
              <w:pStyle w:val="TableContents"/>
              <w:bidi w:val="0"/>
              <w:spacing w:before="0" w:after="283"/>
              <w:ind w:left="0" w:right="0" w:hanging="0"/>
              <w:jc w:val="right"/>
              <w:rPr/>
            </w:pPr>
            <w:r>
              <w:rPr/>
              <w:t>—</w:t>
            </w:r>
          </w:p>
        </w:tc>
        <w:tc>
          <w:tcPr>
            <w:tcW w:w="149"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31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Operating leases</w:t>
            </w:r>
          </w:p>
        </w:tc>
        <w:tc>
          <w:tcPr>
            <w:tcW w:w="60"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pPr>
            <w:r>
              <w:rPr/>
              <w:t>—</w:t>
            </w:r>
          </w:p>
        </w:tc>
        <w:tc>
          <w:tcPr>
            <w:tcW w:w="14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23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Supplemental balance sheet information related to leases was as follows (in thousands, except weighted average remaining lease term and weighted average discount rate):</w:t>
      </w:r>
    </w:p>
    <w:p>
      <w:pPr>
        <w:pStyle w:val="TextBody"/>
        <w:bidi w:val="0"/>
        <w:spacing w:before="0" w:after="0"/>
        <w:ind w:left="150" w:right="150" w:hanging="0"/>
        <w:jc w:val="left"/>
        <w:rPr/>
      </w:pPr>
      <w:r>
        <w:rPr/>
        <w:t> </w:t>
      </w:r>
    </w:p>
    <w:tbl>
      <w:tblPr>
        <w:tblW w:w="6458" w:type="dxa"/>
        <w:jc w:val="left"/>
        <w:tblInd w:w="0" w:type="dxa"/>
        <w:tblLayout w:type="fixed"/>
        <w:tblCellMar>
          <w:top w:w="0" w:type="dxa"/>
          <w:left w:w="0" w:type="dxa"/>
          <w:bottom w:w="0" w:type="dxa"/>
          <w:right w:w="0" w:type="dxa"/>
        </w:tblCellMar>
      </w:tblPr>
      <w:tblGrid>
        <w:gridCol w:w="3950"/>
        <w:gridCol w:w="60"/>
        <w:gridCol w:w="152"/>
        <w:gridCol w:w="722"/>
        <w:gridCol w:w="185"/>
        <w:gridCol w:w="60"/>
        <w:gridCol w:w="234"/>
        <w:gridCol w:w="910"/>
        <w:gridCol w:w="185"/>
      </w:tblGrid>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185" w:type="dxa"/>
            <w:tcBorders/>
            <w:shd w:fill="FFFF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Finance Leases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Property and equipment, at cost</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1,031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1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1,031</w:t>
            </w:r>
          </w:p>
        </w:tc>
        <w:tc>
          <w:tcPr>
            <w:tcW w:w="185" w:type="dxa"/>
            <w:tcBorders/>
            <w:shd w:fill="FFFFFF" w:val="clear"/>
            <w:vAlign w:val="center"/>
          </w:tcPr>
          <w:p>
            <w:pPr>
              <w:pStyle w:val="TableContents"/>
              <w:bidi w:val="0"/>
              <w:spacing w:before="0" w:after="283"/>
              <w:ind w:left="0" w:right="0" w:hanging="0"/>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less: accumulated depreciation and amortization</w:t>
            </w:r>
          </w:p>
        </w:tc>
        <w:tc>
          <w:tcPr>
            <w:tcW w:w="60" w:type="dxa"/>
            <w:tcBorders/>
            <w:shd w:fill="CCEEFF" w:val="clear"/>
            <w:vAlign w:val="center"/>
          </w:tcPr>
          <w:p>
            <w:pPr>
              <w:pStyle w:val="TableContents"/>
              <w:bidi w:val="0"/>
              <w:spacing w:before="0" w:after="0"/>
              <w:ind w:left="0" w:right="0" w:hanging="0"/>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(812</w:t>
            </w:r>
          </w:p>
        </w:tc>
        <w:tc>
          <w:tcPr>
            <w:tcW w:w="1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(780</w:t>
            </w:r>
          </w:p>
        </w:tc>
        <w:tc>
          <w:tcPr>
            <w:tcW w:w="185" w:type="dxa"/>
            <w:tcBorders>
              <w:bottom w:val="single" w:sz="2" w:space="0" w:color="000000"/>
            </w:tcBorders>
            <w:shd w:fill="CCEE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9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Property and equipment, net</w:t>
            </w:r>
          </w:p>
        </w:tc>
        <w:tc>
          <w:tcPr>
            <w:tcW w:w="60" w:type="dxa"/>
            <w:tcBorders/>
            <w:shd w:fill="FFFF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219</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251</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current liabilities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1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w:t>
            </w:r>
          </w:p>
        </w:tc>
        <w:tc>
          <w:tcPr>
            <w:tcW w:w="185" w:type="dxa"/>
            <w:tcBorders/>
            <w:shd w:fill="FFFFFF" w:val="clear"/>
            <w:vAlign w:val="center"/>
          </w:tcPr>
          <w:p>
            <w:pPr>
              <w:pStyle w:val="TableContents"/>
              <w:bidi w:val="0"/>
              <w:spacing w:before="0" w:after="283"/>
              <w:ind w:left="0" w:right="0" w:hanging="0"/>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long-term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85"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r>
      <w:tr>
        <w:trPr/>
        <w:tc>
          <w:tcPr>
            <w:tcW w:w="39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finance lease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9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Operating Leases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lease right-of-use assets</w:t>
            </w:r>
          </w:p>
        </w:tc>
        <w:tc>
          <w:tcPr>
            <w:tcW w:w="60" w:type="dxa"/>
            <w:tcBorders/>
            <w:shd w:fill="CCEEFF" w:val="clear"/>
            <w:vAlign w:val="center"/>
          </w:tcPr>
          <w:p>
            <w:pPr>
              <w:pStyle w:val="TableContents"/>
              <w:bidi w:val="0"/>
              <w:spacing w:before="0" w:after="0"/>
              <w:ind w:left="0" w:right="0" w:hanging="0"/>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898</w:t>
            </w:r>
          </w:p>
        </w:tc>
        <w:tc>
          <w:tcPr>
            <w:tcW w:w="1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988</w:t>
            </w:r>
          </w:p>
        </w:tc>
        <w:tc>
          <w:tcPr>
            <w:tcW w:w="185"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r>
      <w:tr>
        <w:trPr/>
        <w:tc>
          <w:tcPr>
            <w:tcW w:w="39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operating lease right-of-use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898</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988</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Current portion of operating lease liabilities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470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1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480</w:t>
            </w:r>
          </w:p>
        </w:tc>
        <w:tc>
          <w:tcPr>
            <w:tcW w:w="185" w:type="dxa"/>
            <w:tcBorders/>
            <w:shd w:fill="FFFFFF" w:val="clear"/>
            <w:vAlign w:val="center"/>
          </w:tcPr>
          <w:p>
            <w:pPr>
              <w:pStyle w:val="TableContents"/>
              <w:bidi w:val="0"/>
              <w:spacing w:before="0" w:after="283"/>
              <w:ind w:left="0" w:right="0" w:hanging="0"/>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lease liabilities, less current portion</w:t>
            </w:r>
          </w:p>
        </w:tc>
        <w:tc>
          <w:tcPr>
            <w:tcW w:w="60" w:type="dxa"/>
            <w:tcBorders/>
            <w:shd w:fill="CCEEFF" w:val="clear"/>
            <w:vAlign w:val="center"/>
          </w:tcPr>
          <w:p>
            <w:pPr>
              <w:pStyle w:val="TableContents"/>
              <w:bidi w:val="0"/>
              <w:spacing w:before="0" w:after="0"/>
              <w:ind w:left="0" w:right="0" w:hanging="0"/>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736</w:t>
            </w:r>
          </w:p>
        </w:tc>
        <w:tc>
          <w:tcPr>
            <w:tcW w:w="1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843</w:t>
            </w:r>
          </w:p>
        </w:tc>
        <w:tc>
          <w:tcPr>
            <w:tcW w:w="185"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r>
      <w:tr>
        <w:trPr/>
        <w:tc>
          <w:tcPr>
            <w:tcW w:w="39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operating lease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1,206</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1,323</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9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Weighted Average Remaining Lease Term</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180" w:right="180" w:hanging="0"/>
              <w:jc w:val="left"/>
              <w:rPr>
                <w:rFonts w:ascii="Times New Roman" w:hAnsi="Times New Roman"/>
                <w:sz w:val="20"/>
              </w:rPr>
            </w:pPr>
            <w:r>
              <w:rPr>
                <w:rFonts w:ascii="Times New Roman" w:hAnsi="Times New Roman"/>
                <w:sz w:val="20"/>
              </w:rPr>
              <w:t>Finance leases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 year</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 year</w:t>
            </w:r>
          </w:p>
        </w:tc>
        <w:tc>
          <w:tcPr>
            <w:tcW w:w="185"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180" w:right="180" w:hanging="0"/>
              <w:jc w:val="left"/>
              <w:rPr>
                <w:rFonts w:ascii="Times New Roman" w:hAnsi="Times New Roman"/>
                <w:sz w:val="20"/>
              </w:rPr>
            </w:pPr>
            <w:r>
              <w:rPr>
                <w:rFonts w:ascii="Times New Roman" w:hAnsi="Times New Roman"/>
                <w:sz w:val="20"/>
              </w:rPr>
              <w:t>Operating leases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 years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 years</w:t>
            </w:r>
          </w:p>
        </w:tc>
        <w:tc>
          <w:tcPr>
            <w:tcW w:w="185"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9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Weighted Average Discount Rate</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180" w:right="180" w:hanging="0"/>
              <w:jc w:val="left"/>
              <w:rPr>
                <w:rFonts w:ascii="Times New Roman" w:hAnsi="Times New Roman"/>
                <w:sz w:val="20"/>
              </w:rPr>
            </w:pPr>
            <w:r>
              <w:rPr>
                <w:rFonts w:ascii="Times New Roman" w:hAnsi="Times New Roman"/>
                <w:sz w:val="20"/>
              </w:rPr>
              <w:t>Finance leases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14.3</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14.3</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950" w:type="dxa"/>
            <w:tcBorders/>
            <w:shd w:fill="FFFFFF" w:val="clear"/>
            <w:vAlign w:val="center"/>
          </w:tcPr>
          <w:p>
            <w:pPr>
              <w:pStyle w:val="TableContents"/>
              <w:bidi w:val="0"/>
              <w:spacing w:before="0" w:after="0"/>
              <w:ind w:left="180" w:right="180" w:hanging="0"/>
              <w:jc w:val="left"/>
              <w:rPr>
                <w:rFonts w:ascii="Times New Roman" w:hAnsi="Times New Roman"/>
                <w:sz w:val="20"/>
              </w:rPr>
            </w:pPr>
            <w:r>
              <w:rPr>
                <w:rFonts w:ascii="Times New Roman" w:hAnsi="Times New Roman"/>
                <w:sz w:val="20"/>
              </w:rPr>
              <w:t>Operating leases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7.4</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7.3</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Maturities of lease liabilities were as follows (in thousands):</w:t>
      </w:r>
    </w:p>
    <w:p>
      <w:pPr>
        <w:pStyle w:val="TextBody"/>
        <w:bidi w:val="0"/>
        <w:spacing w:before="0" w:after="0"/>
        <w:ind w:left="0" w:right="0" w:hanging="0"/>
        <w:jc w:val="both"/>
        <w:rPr/>
      </w:pPr>
      <w:r>
        <w:rPr/>
        <w:t> </w:t>
      </w:r>
    </w:p>
    <w:tbl>
      <w:tblPr>
        <w:tblW w:w="6530" w:type="dxa"/>
        <w:jc w:val="left"/>
        <w:tblInd w:w="0" w:type="dxa"/>
        <w:tblLayout w:type="fixed"/>
        <w:tblCellMar>
          <w:top w:w="0" w:type="dxa"/>
          <w:left w:w="0" w:type="dxa"/>
          <w:bottom w:w="0" w:type="dxa"/>
          <w:right w:w="0" w:type="dxa"/>
        </w:tblCellMar>
      </w:tblPr>
      <w:tblGrid>
        <w:gridCol w:w="4700"/>
        <w:gridCol w:w="60"/>
        <w:gridCol w:w="230"/>
        <w:gridCol w:w="480"/>
        <w:gridCol w:w="60"/>
        <w:gridCol w:w="60"/>
        <w:gridCol w:w="176"/>
        <w:gridCol w:w="684"/>
        <w:gridCol w:w="80"/>
      </w:tblGrid>
      <w:tr>
        <w:trPr/>
        <w:tc>
          <w:tcPr>
            <w:tcW w:w="47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Finance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Operating</w:t>
            </w:r>
          </w:p>
        </w:tc>
        <w:tc>
          <w:tcPr>
            <w:tcW w:w="80" w:type="dxa"/>
            <w:tcBorders/>
            <w:shd w:fill="FFFFFF" w:val="clear"/>
            <w:vAlign w:val="center"/>
          </w:tcPr>
          <w:p>
            <w:pPr>
              <w:pStyle w:val="TableContents"/>
              <w:bidi w:val="0"/>
              <w:spacing w:before="0" w:after="283"/>
              <w:jc w:val="left"/>
              <w:rPr/>
            </w:pPr>
            <w:r>
              <w:rPr/>
              <w:t> </w:t>
            </w:r>
          </w:p>
        </w:tc>
      </w:tr>
      <w:tr>
        <w:trPr/>
        <w:tc>
          <w:tcPr>
            <w:tcW w:w="470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 Ending December 31,</w:t>
            </w:r>
          </w:p>
        </w:tc>
        <w:tc>
          <w:tcPr>
            <w:tcW w:w="60" w:type="dxa"/>
            <w:tcBorders/>
            <w:shd w:fill="FFFFFF" w:val="clear"/>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Leases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Leases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2023 (excluding the three months ended March 31, 2023)</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419</w:t>
            </w:r>
          </w:p>
        </w:tc>
        <w:tc>
          <w:tcPr>
            <w:tcW w:w="80" w:type="dxa"/>
            <w:tcBorders/>
            <w:shd w:fill="CCEEFF" w:val="clear"/>
            <w:vAlign w:val="center"/>
          </w:tcPr>
          <w:p>
            <w:pPr>
              <w:pStyle w:val="TableContents"/>
              <w:bidi w:val="0"/>
              <w:spacing w:before="0" w:after="283"/>
              <w:jc w:val="left"/>
              <w:rPr/>
            </w:pPr>
            <w:r>
              <w:rPr/>
              <w:t> </w:t>
            </w:r>
          </w:p>
        </w:tc>
      </w:tr>
      <w:tr>
        <w:trPr/>
        <w:tc>
          <w:tcPr>
            <w:tcW w:w="470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488</w:t>
            </w:r>
          </w:p>
        </w:tc>
        <w:tc>
          <w:tcPr>
            <w:tcW w:w="80" w:type="dxa"/>
            <w:tcBorders/>
            <w:shd w:fill="FFFFFF" w:val="clear"/>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390</w:t>
            </w:r>
          </w:p>
        </w:tc>
        <w:tc>
          <w:tcPr>
            <w:tcW w:w="80" w:type="dxa"/>
            <w:tcBorders/>
            <w:shd w:fill="CCEEFF" w:val="clear"/>
            <w:vAlign w:val="center"/>
          </w:tcPr>
          <w:p>
            <w:pPr>
              <w:pStyle w:val="TableContents"/>
              <w:bidi w:val="0"/>
              <w:spacing w:before="0" w:after="283"/>
              <w:jc w:val="left"/>
              <w:rPr/>
            </w:pPr>
            <w:r>
              <w:rPr/>
              <w:t> </w:t>
            </w:r>
          </w:p>
        </w:tc>
      </w:tr>
      <w:tr>
        <w:trPr/>
        <w:tc>
          <w:tcPr>
            <w:tcW w:w="470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7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60" w:type="dxa"/>
            <w:tcBorders/>
            <w:shd w:fill="CCEEFF" w:val="clear"/>
            <w:vAlign w:val="center"/>
          </w:tcPr>
          <w:p>
            <w:pPr>
              <w:pStyle w:val="TableContents"/>
              <w:bidi w:val="0"/>
              <w:spacing w:before="0" w:after="0"/>
              <w:ind w:left="0" w:right="0" w:hanging="0"/>
              <w:jc w:val="left"/>
              <w:rPr/>
            </w:pPr>
            <w:r>
              <w:rPr/>
              <w:t> </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r>
      <w:tr>
        <w:trPr/>
        <w:tc>
          <w:tcPr>
            <w:tcW w:w="470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Total lease payments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ind w:left="0" w:right="0" w:hanging="0"/>
              <w:jc w:val="left"/>
              <w:rPr/>
            </w:pPr>
            <w:r>
              <w:rPr/>
              <w:t> </w:t>
            </w:r>
          </w:p>
        </w:tc>
        <w:tc>
          <w:tcPr>
            <w:tcW w:w="4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6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1,327</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7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future interest expense</w:t>
            </w:r>
          </w:p>
        </w:tc>
        <w:tc>
          <w:tcPr>
            <w:tcW w:w="60" w:type="dxa"/>
            <w:tcBorders/>
            <w:shd w:fill="CCEEFF" w:val="clear"/>
            <w:vAlign w:val="center"/>
          </w:tcPr>
          <w:p>
            <w:pPr>
              <w:pStyle w:val="TableContents"/>
              <w:bidi w:val="0"/>
              <w:spacing w:before="0" w:after="0"/>
              <w:ind w:left="0" w:right="0" w:hanging="0"/>
              <w:jc w:val="left"/>
              <w:rPr/>
            </w:pPr>
            <w:r>
              <w:rPr/>
              <w:t> </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c>
          <w:tcPr>
            <w:tcW w:w="80" w:type="dxa"/>
            <w:tcBorders>
              <w:bottom w:val="single" w:sz="2" w:space="0" w:color="000000"/>
            </w:tcBorders>
            <w:shd w:fill="CCEEFF" w:val="clear"/>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470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Lease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23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24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2050" w:type="dxa"/>
        <w:jc w:val="left"/>
        <w:tblInd w:w="0" w:type="dxa"/>
        <w:tblLayout w:type="fixed"/>
        <w:tblCellMar>
          <w:top w:w="0" w:type="dxa"/>
          <w:left w:w="0" w:type="dxa"/>
          <w:bottom w:w="0" w:type="dxa"/>
          <w:right w:w="0" w:type="dxa"/>
        </w:tblCellMar>
      </w:tblPr>
      <w:tblGrid>
        <w:gridCol w:w="200"/>
        <w:gridCol w:w="1850"/>
      </w:tblGrid>
      <w:tr>
        <w:trPr/>
        <w:tc>
          <w:tcPr>
            <w:tcW w:w="200" w:type="dxa"/>
            <w:tcBorders/>
            <w:vAlign w:val="center"/>
          </w:tcPr>
          <w:p>
            <w:pPr>
              <w:pStyle w:val="TableContents"/>
              <w:bidi w:val="0"/>
              <w:spacing w:before="0" w:after="283"/>
              <w:jc w:val="left"/>
              <w:rPr>
                <w:b/>
              </w:rPr>
            </w:pPr>
            <w:r>
              <w:rPr>
                <w:b/>
              </w:rPr>
              <w:t>J.</w:t>
            </w:r>
          </w:p>
        </w:tc>
        <w:tc>
          <w:tcPr>
            <w:tcW w:w="1850" w:type="dxa"/>
            <w:tcBorders/>
            <w:vAlign w:val="center"/>
          </w:tcPr>
          <w:p>
            <w:pPr>
              <w:pStyle w:val="TableContents"/>
              <w:bidi w:val="0"/>
              <w:spacing w:before="0" w:after="283"/>
              <w:jc w:val="left"/>
              <w:rPr>
                <w:b/>
              </w:rPr>
            </w:pPr>
            <w:r>
              <w:rPr>
                <w:b/>
              </w:rPr>
              <w:t>Significant Events</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6, 2023, </w:t>
      </w:r>
      <w:r>
        <w:rPr>
          <w:rFonts w:ascii="Times New Roman" w:hAnsi="Times New Roman"/>
          <w:caps w:val="false"/>
          <w:smallCaps w:val="false"/>
          <w:sz w:val="20"/>
        </w:rPr>
        <w:t xml:space="preserve">the Board appointed Richard W. Pascoe to serve as the Company’s Chief Executive Officer, effective immediately. Concurrently with his appointment as Chief Executive Officer, Mr. Pascoe stepped down as the Company’s Executive Chairman. Mr. Pascoe continued to serve as a member of the Board until </w:t>
      </w:r>
      <w:r>
        <w:rPr>
          <w:rStyle w:val="Emphasis"/>
          <w:rFonts w:ascii="Times New Roman" w:hAnsi="Times New Roman"/>
          <w:caps w:val="false"/>
          <w:smallCaps w:val="false"/>
          <w:sz w:val="20"/>
        </w:rPr>
        <w:t xml:space="preserve">April 25, 2023. </w:t>
      </w:r>
      <w:r>
        <w:rPr>
          <w:rFonts w:ascii="Times New Roman" w:hAnsi="Times New Roman"/>
          <w:caps w:val="false"/>
          <w:smallCaps w:val="false"/>
          <w:sz w:val="20"/>
        </w:rPr>
        <w:t xml:space="preserve">Mr. Pascoe was designated as the Company’s principal executive officer, succeeding Travis C. Mickle, Ph.D., the Company’s President and former Chief Executive Officer, in such role. On </w:t>
      </w:r>
      <w:r>
        <w:rPr>
          <w:rStyle w:val="Emphasis"/>
          <w:rFonts w:ascii="Times New Roman" w:hAnsi="Times New Roman"/>
          <w:caps w:val="false"/>
          <w:smallCaps w:val="false"/>
          <w:sz w:val="20"/>
        </w:rPr>
        <w:t xml:space="preserve">January 6, 2023, </w:t>
      </w:r>
      <w:r>
        <w:rPr>
          <w:rFonts w:ascii="Times New Roman" w:hAnsi="Times New Roman"/>
          <w:caps w:val="false"/>
          <w:smallCaps w:val="false"/>
          <w:sz w:val="20"/>
        </w:rPr>
        <w:t xml:space="preserve">Dr. Mickle resigned from his role (i) as Chief Executive Officer, effective immediately, and (ii) as President and as a member of the Board, in each case, effective as of the date of the Company’s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Annual Meeting of Stockholders, which was held on </w:t>
      </w:r>
      <w:r>
        <w:rPr>
          <w:rStyle w:val="Emphasis"/>
          <w:rFonts w:ascii="Times New Roman" w:hAnsi="Times New Roman"/>
          <w:caps w:val="false"/>
          <w:smallCaps w:val="false"/>
          <w:sz w:val="20"/>
        </w:rPr>
        <w:t xml:space="preserve">April 25, 2023. </w:t>
      </w:r>
      <w:r>
        <w:rPr>
          <w:rFonts w:ascii="Times New Roman" w:hAnsi="Times New Roman"/>
          <w:caps w:val="false"/>
          <w:smallCaps w:val="false"/>
          <w:sz w:val="20"/>
        </w:rPr>
        <w:t xml:space="preserve">Additionally, on </w:t>
      </w:r>
      <w:r>
        <w:rPr>
          <w:rStyle w:val="Emphasis"/>
          <w:rFonts w:ascii="Times New Roman" w:hAnsi="Times New Roman"/>
          <w:caps w:val="false"/>
          <w:smallCaps w:val="false"/>
          <w:sz w:val="20"/>
        </w:rPr>
        <w:t xml:space="preserve">January 6, 2023, </w:t>
      </w:r>
      <w:r>
        <w:rPr>
          <w:rFonts w:ascii="Times New Roman" w:hAnsi="Times New Roman"/>
          <w:caps w:val="false"/>
          <w:smallCaps w:val="false"/>
          <w:sz w:val="20"/>
        </w:rPr>
        <w:t>the Board appointed Matthew R. Plooster, a member of the Board, as the Chairman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connection with Mr. Pascoe’s appointment as the Company’s Chief Executive Officer, the Company and Mr. Pascoe entered into an amendment to the employment agreement, dated </w:t>
      </w:r>
      <w:r>
        <w:rPr>
          <w:rStyle w:val="Emphasis"/>
          <w:rFonts w:ascii="Times New Roman" w:hAnsi="Times New Roman"/>
          <w:caps w:val="false"/>
          <w:smallCaps w:val="false"/>
          <w:sz w:val="20"/>
        </w:rPr>
        <w:t xml:space="preserve">November 5, 2021, </w:t>
      </w:r>
      <w:r>
        <w:rPr>
          <w:rFonts w:ascii="Times New Roman" w:hAnsi="Times New Roman"/>
          <w:caps w:val="false"/>
          <w:smallCaps w:val="false"/>
          <w:sz w:val="20"/>
        </w:rPr>
        <w:t xml:space="preserve">by and between the Company and Mr. Pascoe (the “Amendment”). Pursuant to the Amendment, Mr. Pascoe became entitled to receive an option under the A&amp;R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Plan to purchase 700,000 shares of the Company’s common stock at an exercise price equal to the closing price of the Company’s common stock on </w:t>
      </w:r>
      <w:r>
        <w:rPr>
          <w:rStyle w:val="Emphasis"/>
          <w:rFonts w:ascii="Times New Roman" w:hAnsi="Times New Roman"/>
          <w:caps w:val="false"/>
          <w:smallCaps w:val="false"/>
          <w:sz w:val="20"/>
        </w:rPr>
        <w:t xml:space="preserve">January 9, 2023. </w:t>
      </w:r>
      <w:r>
        <w:rPr>
          <w:rFonts w:ascii="Times New Roman" w:hAnsi="Times New Roman"/>
          <w:caps w:val="false"/>
          <w:smallCaps w:val="false"/>
          <w:sz w:val="20"/>
        </w:rPr>
        <w:t xml:space="preserve">The option will vest in four equal annual installments, with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such installment occurring on </w:t>
      </w:r>
      <w:r>
        <w:rPr>
          <w:rStyle w:val="Emphasis"/>
          <w:rFonts w:ascii="Times New Roman" w:hAnsi="Times New Roman"/>
          <w:caps w:val="false"/>
          <w:smallCaps w:val="false"/>
          <w:sz w:val="20"/>
        </w:rPr>
        <w:t>January 6, 2024 (</w:t>
      </w:r>
      <w:r>
        <w:rPr>
          <w:rFonts w:ascii="Times New Roman" w:hAnsi="Times New Roman"/>
          <w:caps w:val="false"/>
          <w:smallCaps w:val="false"/>
          <w:sz w:val="20"/>
        </w:rPr>
        <w:t>subject to Mr. Pascoe’s continued service to the Company through the applicable vesting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pPr>
      <w:r>
        <w:rPr>
          <w:rFonts w:ascii="Times New Roman" w:hAnsi="Times New Roman"/>
          <w:sz w:val="20"/>
        </w:rPr>
        <w:t xml:space="preserve">In connection with the management transition, the Company entered into (i) a transition agreement with Dr. Mickle (the “Transition Agreement”) and (ii) a consulting agreement with Dr. Mickle (the “Consulting Agreement”). Pursuant to the terms of the Transition Agreement, subject to his timely delivering a release of claims in the Company’s favor, Dr. Mickle will receive severance payments and benefits consisting of (i) continued payment of his base salary for 18 months following the date on which Dr. Mickle’s employment with the Company ends (the “Separation Date”), (ii) up to 18 months of continued medical, dental and vision coverage pursuant to COBRA and (iii) a </w:t>
      </w:r>
      <w:r>
        <w:rPr>
          <w:rStyle w:val="Emphasis"/>
          <w:rFonts w:ascii="Times New Roman" w:hAnsi="Times New Roman"/>
          <w:sz w:val="20"/>
        </w:rPr>
        <w:t>one</w:t>
      </w:r>
      <w:r>
        <w:rPr>
          <w:rFonts w:ascii="Times New Roman" w:hAnsi="Times New Roman"/>
          <w:sz w:val="20"/>
        </w:rPr>
        <w:t xml:space="preserve">-time, lump sum bonus payment equal to a pro rata amount of his annual performance-based target bonus for the year in which the Separation Date occurs. In addition, immediately prior to the Separation Date, all outstanding options to purchase the Company’s common stock held by Dr. Mickle will be vested in full, and such accelerated vested options </w:t>
      </w:r>
      <w:r>
        <w:rPr>
          <w:rStyle w:val="Emphasis"/>
          <w:rFonts w:ascii="Times New Roman" w:hAnsi="Times New Roman"/>
          <w:sz w:val="20"/>
        </w:rPr>
        <w:t xml:space="preserve">may </w:t>
      </w:r>
      <w:r>
        <w:rPr>
          <w:rFonts w:ascii="Times New Roman" w:hAnsi="Times New Roman"/>
          <w:sz w:val="20"/>
        </w:rPr>
        <w:t xml:space="preserve">be exercised through the later of (i) the </w:t>
      </w:r>
      <w:r>
        <w:rPr>
          <w:rStyle w:val="Emphasis"/>
          <w:rFonts w:ascii="Times New Roman" w:hAnsi="Times New Roman"/>
          <w:sz w:val="20"/>
        </w:rPr>
        <w:t>18</w:t>
      </w:r>
      <w:r>
        <w:rPr>
          <w:rFonts w:ascii="Times New Roman" w:hAnsi="Times New Roman"/>
          <w:sz w:val="20"/>
        </w:rPr>
        <w:t xml:space="preserve">-month anniversary of the date of the Transition Agreement and (ii) the date of the termination of the Consulting Agreement. Pursuant to the terms of the Consulting Agreement, Dr. Mickle has agreed to provide consulting services until the </w:t>
      </w:r>
      <w:r>
        <w:rPr>
          <w:rStyle w:val="Emphasis"/>
          <w:rFonts w:ascii="Times New Roman" w:hAnsi="Times New Roman"/>
          <w:sz w:val="20"/>
        </w:rPr>
        <w:t>first</w:t>
      </w:r>
      <w:r>
        <w:rPr>
          <w:rFonts w:ascii="Times New Roman" w:hAnsi="Times New Roman"/>
          <w:sz w:val="20"/>
        </w:rPr>
        <w:t xml:space="preserve"> anniversary of the Company’s </w:t>
      </w:r>
      <w:r>
        <w:rPr>
          <w:rStyle w:val="Emphasis"/>
          <w:rFonts w:ascii="Times New Roman" w:hAnsi="Times New Roman"/>
          <w:sz w:val="20"/>
        </w:rPr>
        <w:t>2023</w:t>
      </w:r>
      <w:r>
        <w:rPr>
          <w:rFonts w:ascii="Times New Roman" w:hAnsi="Times New Roman"/>
          <w:sz w:val="20"/>
        </w:rPr>
        <w:t xml:space="preserve"> Annual Meeting of Stockholders, which was held on </w:t>
      </w:r>
      <w:r>
        <w:rPr>
          <w:rStyle w:val="Emphasis"/>
          <w:rFonts w:ascii="Times New Roman" w:hAnsi="Times New Roman"/>
          <w:sz w:val="20"/>
        </w:rPr>
        <w:t xml:space="preserve">April 25, 2023. </w:t>
      </w:r>
      <w:r>
        <w:rPr>
          <w:rFonts w:ascii="Times New Roman" w:hAnsi="Times New Roman"/>
          <w:sz w:val="20"/>
        </w:rPr>
        <w:t xml:space="preserve">In exchange for such services, Dr. Mickle will receive consulting fees of $40,000 per month. In addition, Dr. Mickle was granted, under the A&amp;R </w:t>
      </w:r>
      <w:r>
        <w:rPr>
          <w:rStyle w:val="Emphasis"/>
          <w:rFonts w:ascii="Times New Roman" w:hAnsi="Times New Roman"/>
          <w:sz w:val="20"/>
        </w:rPr>
        <w:t>2014</w:t>
      </w:r>
      <w:r>
        <w:rPr>
          <w:rFonts w:ascii="Times New Roman" w:hAnsi="Times New Roman"/>
          <w:sz w:val="20"/>
        </w:rPr>
        <w:t xml:space="preserve"> Plan, 547,945 performance-based restricted stock units, which will vest in full upon the timely achievement of a clinical and development milestone, subject to forfeiture upon certain disqualifying events. The severance benefits consisted of personnel and other related charges of approximately $1.0 million and stock compensation expense of approximately $0.4 million related to the acceleration of vesting on unvested shares subject to certain stock options and the extension of the exercise period for certain stock options. These severance benefits are presented in selling, general and administrative expenses in the unaudited condensed consolidated statement of operations for the </w:t>
      </w:r>
      <w:r>
        <w:rPr>
          <w:rStyle w:val="Emphasis"/>
          <w:rFonts w:ascii="Times New Roman" w:hAnsi="Times New Roman"/>
          <w:sz w:val="20"/>
        </w:rPr>
        <w:t>three</w:t>
      </w:r>
      <w:r>
        <w:rPr>
          <w:rFonts w:ascii="Times New Roman" w:hAnsi="Times New Roman"/>
          <w:sz w:val="20"/>
        </w:rPr>
        <w:t xml:space="preserve"> months ended </w:t>
      </w:r>
      <w:r>
        <w:rPr>
          <w:rStyle w:val="Emphasis"/>
          <w:rFonts w:ascii="Times New Roman" w:hAnsi="Times New Roman"/>
          <w:sz w:val="20"/>
        </w:rPr>
        <w:t>March 31, 2023. </w:t>
      </w:r>
      <w:r>
        <w:rPr>
          <w:rFonts w:ascii="Times New Roman" w:hAnsi="Times New Roman"/>
          <w:sz w:val="20"/>
        </w:rPr>
        <w:t xml:space="preserve">As of </w:t>
      </w:r>
      <w:r>
        <w:rPr>
          <w:rStyle w:val="Emphasis"/>
          <w:rFonts w:ascii="Times New Roman" w:hAnsi="Times New Roman"/>
          <w:sz w:val="20"/>
        </w:rPr>
        <w:t xml:space="preserve">March 31, 2023, </w:t>
      </w:r>
      <w:r>
        <w:rPr>
          <w:rFonts w:ascii="Times New Roman" w:hAnsi="Times New Roman"/>
          <w:sz w:val="20"/>
        </w:rPr>
        <w:t>the Company had accrued severance expense recorded within accounts payable and accrued expenses of $1.0 million. </w:t>
      </w:r>
      <w:r>
        <w:rPr>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At the Company's </w:t>
      </w:r>
      <w:r>
        <w:rPr>
          <w:rStyle w:val="Emphasis"/>
          <w:rFonts w:ascii="Times New Roman;Times;serif" w:hAnsi="Times New Roman;Times;serif"/>
          <w:sz w:val="20"/>
        </w:rPr>
        <w:t>2023</w:t>
      </w:r>
      <w:r>
        <w:rPr>
          <w:rFonts w:ascii="Times New Roman;Times;serif" w:hAnsi="Times New Roman;Times;serif"/>
          <w:sz w:val="20"/>
        </w:rPr>
        <w:t xml:space="preserve"> Annual Meeting of Stockholders (the "Annual Meeting"), which was held on </w:t>
      </w:r>
      <w:r>
        <w:rPr>
          <w:rStyle w:val="Emphasis"/>
          <w:rFonts w:ascii="Times New Roman;Times;serif" w:hAnsi="Times New Roman;Times;serif"/>
          <w:sz w:val="20"/>
        </w:rPr>
        <w:t xml:space="preserve">April 25, 2023, </w:t>
      </w:r>
      <w:r>
        <w:rPr>
          <w:rFonts w:ascii="Times New Roman;Times;serif" w:hAnsi="Times New Roman;Times;serif"/>
          <w:sz w:val="20"/>
        </w:rPr>
        <w:t xml:space="preserve">each of John B. Bode, Douglas W. Calder, and Corey Watton was elected as a director of the Company and each of Richard W. Pascoe, Christopher A. Posner, and David S. Tierney ceased serving on the Company's Board of Directors. After the Annual Meeting, the Company's Board of Directors accepted the resignation of Richard W. Pascoe from his role as Chief Executive Officer on </w:t>
      </w:r>
      <w:r>
        <w:rPr>
          <w:rStyle w:val="Emphasis"/>
          <w:rFonts w:ascii="Times New Roman;Times;serif" w:hAnsi="Times New Roman;Times;serif"/>
          <w:sz w:val="20"/>
        </w:rPr>
        <w:t xml:space="preserve">May 5, 2023, </w:t>
      </w:r>
      <w:r>
        <w:rPr>
          <w:rFonts w:ascii="Times New Roman;Times;serif" w:hAnsi="Times New Roman;Times;serif"/>
          <w:sz w:val="20"/>
        </w:rPr>
        <w:t xml:space="preserve">effective </w:t>
      </w:r>
      <w:r>
        <w:rPr>
          <w:rStyle w:val="Emphasis"/>
          <w:rFonts w:ascii="Times New Roman;Times;serif" w:hAnsi="Times New Roman;Times;serif"/>
          <w:sz w:val="20"/>
        </w:rPr>
        <w:t xml:space="preserve">June 1, 2023, </w:t>
      </w:r>
      <w:r>
        <w:rPr>
          <w:rFonts w:ascii="Times New Roman;Times;serif" w:hAnsi="Times New Roman;Times;serif"/>
          <w:sz w:val="20"/>
        </w:rPr>
        <w:t xml:space="preserve">and appointed Tamara A. Favorito as the Chair of the Board of Directors. In addition, on </w:t>
      </w:r>
      <w:r>
        <w:rPr>
          <w:rStyle w:val="Emphasis"/>
          <w:rFonts w:ascii="Times New Roman;Times;serif" w:hAnsi="Times New Roman;Times;serif"/>
          <w:sz w:val="20"/>
        </w:rPr>
        <w:t xml:space="preserve">May 3, 2023, </w:t>
      </w:r>
      <w:r>
        <w:rPr>
          <w:rFonts w:ascii="Times New Roman;Times;serif" w:hAnsi="Times New Roman;Times;serif"/>
          <w:sz w:val="20"/>
        </w:rPr>
        <w:t>Matthew R. Plooster and Joseph B. Saluri indicated to the Board of Directors that they do </w:t>
      </w:r>
      <w:r>
        <w:rPr>
          <w:rStyle w:val="Emphasis"/>
          <w:rFonts w:ascii="Times New Roman;Times;serif" w:hAnsi="Times New Roman;Times;serif"/>
          <w:sz w:val="20"/>
        </w:rPr>
        <w:t>not</w:t>
      </w:r>
      <w:r>
        <w:rPr>
          <w:rFonts w:ascii="Times New Roman;Times;serif" w:hAnsi="Times New Roman;Times;serif"/>
          <w:sz w:val="20"/>
        </w:rPr>
        <w:t xml:space="preserve"> intend to stand for re-election at the Company's </w:t>
      </w:r>
      <w:r>
        <w:rPr>
          <w:rStyle w:val="Emphasis"/>
          <w:rFonts w:ascii="Times New Roman;Times;serif" w:hAnsi="Times New Roman;Times;serif"/>
          <w:sz w:val="20"/>
        </w:rPr>
        <w:t>2024</w:t>
      </w:r>
      <w:r>
        <w:rPr>
          <w:rFonts w:ascii="Times New Roman;Times;serif" w:hAnsi="Times New Roman;Times;serif"/>
          <w:sz w:val="20"/>
        </w:rPr>
        <w:t xml:space="preserve"> Annual Meeting of Stockholders, and that they intend to step down from the Board of Directors as soon as replacements are found. In </w:t>
      </w:r>
      <w:r>
        <w:rPr>
          <w:rStyle w:val="Emphasis"/>
          <w:rFonts w:ascii="Times New Roman;Times;serif" w:hAnsi="Times New Roman;Times;serif"/>
          <w:sz w:val="20"/>
        </w:rPr>
        <w:t xml:space="preserve">May 2023, </w:t>
      </w:r>
      <w:r>
        <w:rPr>
          <w:rFonts w:ascii="Times New Roman;Times;serif" w:hAnsi="Times New Roman;Times;serif"/>
          <w:sz w:val="20"/>
        </w:rPr>
        <w:t xml:space="preserve">the Board of Directors appointed Christal M. M. Mickle, Co-Founder and Chief Development Officer, to serve as interim President and Chief Executive Officer effective on </w:t>
      </w:r>
      <w:r>
        <w:rPr>
          <w:rStyle w:val="Emphasis"/>
          <w:rFonts w:ascii="Times New Roman;Times;serif" w:hAnsi="Times New Roman;Times;serif"/>
          <w:sz w:val="20"/>
        </w:rPr>
        <w:t xml:space="preserve">June 1, 2023.  </w:t>
      </w:r>
      <w:r>
        <w:rPr>
          <w:rFonts w:ascii="Times New Roman;Times;serif" w:hAnsi="Times New Roman;Times;serif"/>
          <w:sz w:val="20"/>
        </w:rPr>
        <w:t>The Board also intends to begin a search to identify a new Chief Executive Officer, as well as new Board members to replace Mr. Plooster and Mr. Saluri.</w:t>
      </w:r>
    </w:p>
    <w:p>
      <w:pPr>
        <w:pStyle w:val="TextBody"/>
        <w:bidi w:val="0"/>
        <w:spacing w:before="0" w:after="0"/>
        <w:ind w:left="0" w:right="0" w:hanging="0"/>
        <w:jc w:val="both"/>
        <w:rPr/>
      </w:pPr>
      <w:r>
        <w:rPr/>
        <w:t> </w:t>
      </w:r>
    </w:p>
    <w:p>
      <w:pPr>
        <w:pStyle w:val="TextBody"/>
        <w:bidi w:val="0"/>
        <w:spacing w:before="0" w:after="0"/>
        <w:jc w:val="left"/>
        <w:rPr/>
      </w:pPr>
      <w:r>
        <w:rPr/>
        <w:t xml:space="preserve">  </w:t>
      </w:r>
    </w:p>
    <w:tbl>
      <w:tblPr>
        <w:tblW w:w="2215" w:type="dxa"/>
        <w:jc w:val="left"/>
        <w:tblInd w:w="0" w:type="dxa"/>
        <w:tblLayout w:type="fixed"/>
        <w:tblCellMar>
          <w:top w:w="0" w:type="dxa"/>
          <w:left w:w="0" w:type="dxa"/>
          <w:bottom w:w="0" w:type="dxa"/>
          <w:right w:w="0" w:type="dxa"/>
        </w:tblCellMar>
      </w:tblPr>
      <w:tblGrid>
        <w:gridCol w:w="260"/>
        <w:gridCol w:w="1955"/>
      </w:tblGrid>
      <w:tr>
        <w:trPr/>
        <w:tc>
          <w:tcPr>
            <w:tcW w:w="260" w:type="dxa"/>
            <w:tcBorders/>
            <w:vAlign w:val="center"/>
          </w:tcPr>
          <w:p>
            <w:pPr>
              <w:pStyle w:val="TableContents"/>
              <w:bidi w:val="0"/>
              <w:spacing w:before="0" w:after="283"/>
              <w:jc w:val="left"/>
              <w:rPr>
                <w:b/>
              </w:rPr>
            </w:pPr>
            <w:r>
              <w:rPr>
                <w:b/>
              </w:rPr>
              <w:t>K.</w:t>
            </w:r>
          </w:p>
        </w:tc>
        <w:tc>
          <w:tcPr>
            <w:tcW w:w="1955" w:type="dxa"/>
            <w:tcBorders/>
            <w:vAlign w:val="center"/>
          </w:tcPr>
          <w:p>
            <w:pPr>
              <w:pStyle w:val="TableContents"/>
              <w:bidi w:val="0"/>
              <w:spacing w:before="0" w:after="283"/>
              <w:jc w:val="left"/>
              <w:rPr>
                <w:b/>
              </w:rPr>
            </w:pPr>
            <w:r>
              <w:rPr>
                <w:b/>
              </w:rPr>
              <w:t>Subsequent Events</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shd w:fill="FFFFFF" w:val="clear"/>
        </w:rPr>
        <w:t xml:space="preserve">The Company evaluated events and transactions occurring subsequent to </w:t>
      </w:r>
      <w:r>
        <w:rPr>
          <w:rStyle w:val="Emphasis"/>
          <w:rFonts w:ascii="Times New Roman;Times;serif" w:hAnsi="Times New Roman;Times;serif"/>
          <w:sz w:val="20"/>
          <w:shd w:fill="FFFFFF" w:val="clear"/>
        </w:rPr>
        <w:t>March 31, 2023, </w:t>
      </w:r>
      <w:r>
        <w:rPr>
          <w:rFonts w:ascii="Times New Roman;Times;serif" w:hAnsi="Times New Roman;Times;serif"/>
          <w:sz w:val="20"/>
          <w:shd w:fill="FFFFFF" w:val="clear"/>
        </w:rPr>
        <w:t xml:space="preserve">through </w:t>
      </w:r>
      <w:r>
        <w:rPr>
          <w:rStyle w:val="Emphasis"/>
          <w:rFonts w:ascii="Times New Roman;Times;serif" w:hAnsi="Times New Roman;Times;serif"/>
          <w:sz w:val="20"/>
          <w:shd w:fill="FFFFFF" w:val="clear"/>
        </w:rPr>
        <w:t>May 15,</w:t>
      </w:r>
      <w:r>
        <w:rPr>
          <w:rFonts w:ascii="Times New Roman;Times;serif" w:hAnsi="Times New Roman;Times;serif"/>
          <w:sz w:val="20"/>
          <w:shd w:fill="FFFFFF" w:val="clear"/>
        </w:rPr>
        <w:t xml:space="preserve"> </w:t>
      </w:r>
      <w:r>
        <w:rPr>
          <w:rStyle w:val="Emphasis"/>
          <w:rFonts w:ascii="Times New Roman;Times;serif" w:hAnsi="Times New Roman;Times;serif"/>
          <w:sz w:val="20"/>
          <w:shd w:fill="FFFFFF" w:val="clear"/>
        </w:rPr>
        <w:t>2023,</w:t>
      </w:r>
      <w:r>
        <w:rPr>
          <w:rFonts w:ascii="Times New Roman;Times;serif" w:hAnsi="Times New Roman;Times;serif"/>
          <w:sz w:val="20"/>
          <w:shd w:fill="FFFFFF" w:val="clear"/>
        </w:rPr>
        <w:t xml:space="preserve"> the date the accompanying unaudited condensed consolidated financial statements were issued. During this period, other than the contingency discussed in Note D and the significant events disclosed in Note J, there were </w:t>
      </w:r>
      <w:r>
        <w:rPr>
          <w:rStyle w:val="Emphasis"/>
          <w:rFonts w:ascii="Times New Roman;Times;serif" w:hAnsi="Times New Roman;Times;serif"/>
          <w:sz w:val="20"/>
          <w:shd w:fill="FFFFFF" w:val="clear"/>
        </w:rPr>
        <w:t>no</w:t>
      </w:r>
      <w:r>
        <w:rPr>
          <w:rFonts w:ascii="Times New Roman;Times;serif" w:hAnsi="Times New Roman;Times;serif"/>
          <w:sz w:val="20"/>
          <w:shd w:fill="FFFFFF" w:val="clear"/>
        </w:rPr>
        <w:t xml:space="preserve"> subsequent events that required recognition in the accompanying unaudited condensed consolidated financial statements, nor were there any additional non-recognized subsequent events that required disclosure.</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728"/>
        <w:gridCol w:w="9477"/>
      </w:tblGrid>
      <w:tr>
        <w:trPr/>
        <w:tc>
          <w:tcPr>
            <w:tcW w:w="728" w:type="dxa"/>
            <w:tcBorders/>
            <w:vAlign w:val="center"/>
          </w:tcPr>
          <w:p>
            <w:pPr>
              <w:pStyle w:val="TableContents"/>
              <w:bidi w:val="0"/>
              <w:spacing w:before="0" w:after="0"/>
              <w:ind w:left="0" w:right="0" w:hanging="0"/>
              <w:jc w:val="both"/>
              <w:rPr>
                <w:rFonts w:ascii="Times New Roman;Times;serif" w:hAnsi="Times New Roman;Times;serif"/>
                <w:b/>
                <w:caps/>
                <w:sz w:val="20"/>
              </w:rPr>
            </w:pPr>
            <w:bookmarkStart w:id="9" w:name="item2"/>
            <w:bookmarkEnd w:id="9"/>
            <w:r>
              <w:rPr>
                <w:rFonts w:ascii="Times New Roman;Times;serif" w:hAnsi="Times New Roman;Times;serif"/>
                <w:b/>
                <w:caps/>
                <w:sz w:val="20"/>
              </w:rPr>
              <w:t>Item 2.</w:t>
            </w:r>
          </w:p>
        </w:tc>
        <w:tc>
          <w:tcPr>
            <w:tcW w:w="9477" w:type="dxa"/>
            <w:tcBorders/>
            <w:vAlign w:val="center"/>
          </w:tcPr>
          <w:p>
            <w:pPr>
              <w:pStyle w:val="TableContents"/>
              <w:bidi w:val="0"/>
              <w:spacing w:before="0" w:after="0"/>
              <w:ind w:left="0" w:right="0" w:hanging="0"/>
              <w:jc w:val="both"/>
              <w:rPr>
                <w:rFonts w:ascii="Times New Roman;Times;serif" w:hAnsi="Times New Roman;Times;serif"/>
                <w:b/>
                <w:caps/>
                <w:sz w:val="20"/>
              </w:rPr>
            </w:pPr>
            <w:r>
              <w:rPr>
                <w:rFonts w:ascii="Times New Roman;Times;serif" w:hAnsi="Times New Roman;Times;serif"/>
                <w:b/>
                <w:caps/>
                <w:sz w:val="20"/>
              </w:rPr>
              <w:t xml:space="preserve">Management's Discussion and Analysis of Financial Condition and Results of Operations </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You should read the following discussion and analysis of our financial condition and results of operations together with our unaudited condensed consolidated financial statements and related notes thereto included elsewhere in this Quarterly Report on Form 10-Q.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As a result of many factors, including those factors set forth in Part II, Item 1A. "Risk Factors" of this Quarterly Report on Form 10-Q and Part I, Item 1A. “Risk Factors” of our Annual Report on Form 10-K for the fiscal year ended December 31, 2022, filed with the SEC on March 7, 2023, our actual results could differ materially from the results described in or implied by the forward-looking statements contained in the following discussion and analysis.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a rare disease company melding science, data and patient need to create transformational therapies for diseases with limited or no treatment options. With unique, data-driven clinical, regulatory, and commercialization strategies, we are overcoming complex drug development challenges to bring much needed therapies to patients. We have a diverse portfolio of products and product candidates, which includes a combination of both a clinical stage pipeline and commercial stage assets. The Company’s pipeline includes arimoclomol, an orally-delivered, first in-class investigational product candidate being developed for Niemann-Pick disease Type C, or NPC, which has been granted orphan drug designation, Fast-Track designation, Breakthrough Therapy designation and rare pediatric disease designation for the treatment of NPC by the U.S. Food and Drug Administration, or FDA, and orphan medicinal product designation for the treatment of NPC by the European Medicines Agency, or EMA. KP1077 is our lead clinical development product candidate which is being developed as a treatment for idiopathic hypersomnia, or IH, a rare neurological sleep disorder, and narcolepsy. KP1077 is comprised solely of serdexmethylphenidate, or SDX, our proprietary prodrug of d-methylphenidate, or d-MPH. The FDA has granted KP1077 orphan drug designation for the treatment of IH, and the U.S. Drug Enforcement Agency, or DEA, has classified SDX as a Schedule IV controlled substance based on evidence suggesting SDX has a lower potential for abuse when compared to d-MPH, a Schedule II controlled substance.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specialized expertise and a track record of success in advancing promising therapies that face complex clinical and regulatory challenges with an approach that balances science and data with patient need. The FDA has approved AZSTARYS®, a once-daily treatment for attention deficit hyperactivity disorder, or ADHD, in patients age six years and older containing our prodrug, SDX, and d-MPH. In September 2019, we entered into a collaboration and license agreement, or the AZSTARYS License Agreement, with Commave Therapeutics S.A. (formerly known as Boston Pharmaceutical S.A.), or Commave, an affiliate of Gurnet Point Capital, L.P. Under the AZSTARYS License Agreement, we granted to Commave an exclusive, worldwide license, to develop, manufacture, and commercialize AZSTARYS and any of our product candidates containing SDX and used to treat ADHD or any other CNS disease. Commave has tasked Corium, Inc., or Corium, an affiliate of Gurnet Point Capital, L.P., to lead all commercialization activities for AZSTARYS in the U.S. under the AZSTARYS License Agreement. Corium commercially launched AZSTARYS in the U.S. during the third quarter of 2021. In December 2021, Commave sublicensed commercialization rights for AZSTARYS in greater China to Shanghai Ark Biopharmaceutical Ltd. The FDA has also approved APADAZ®, an immediate-release combination product containing benzhydrocodone, our prodrug of hydrocodone, and acetaminophen, for the short-term (no more than 14 days) management of acute pain severe enough to require opioid analgesic and for which alternative treatments are inadequate. In October 2018, we entered into a collaboration and license agreement, or the APADAZ License Agreement, with KVK-Tech, Inc., or KVK, under which we granted to KVK the exclusive license to manufacture and commercialize APADAZ in the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primary mission is to deliver life-changing treatments to people with rare conditions, their families, and caregivers who desperately need better options. This mission guides our efforts to expand our pipeline through both internal development and through our business development activities to collaborate, partner, and potentially acquire additional assets. We intend to target assets that will allow us to leverage the expertise and infrastructure that we have successfully built in order to mitigate risk and enhance our probability of success. In addition, we are considering external opportunities within neurology and neurodegenerative diseases, psychiatric disorders, and other rare diseases, along with adjacent or related therapeutic categories. We are seeking assets that are undergoing Phase 2 clinical trials or Phase 3 clinical trials, subject to our specific evaluation criteria, that we can in-license or acquire. If we are successful, expanding our development pipeline could be accretive to our value proposition by potentially adding new clinical data catalysts and have the potential to create incremental long-term value for stockholders. In addition, we believe that a multi-channel development program with several product candidates addressing various rare disease indications will diversify risk and potentially create an impactful portfolio of commercial-stage products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example, in May 2022, we, through our newly formed wholly-owned subsidiary, Zevra Denmark A/S (formerly known as KemPharm Denmark A/S prior to February 21, 2023, or Zevra DK), entered into an Asset Purchase Agreement, or the Arimoclomol Purchase Agreement, with Orphazyme A/S in restructuring, a Danish public limited liability company, or Orphazyme. The transactions agreed to under the Arimoclomol Purchase Agreement closed on May 31, 2022. Under the terms of the Arimoclomol Purchase Agreement, Zevra DK purchased all of the assets and operations of Orphazyme related to arimoclomol and settled all of Orphazyme’s actual outstanding liabilities to its creditors with a cash payment of $12.8 million. In addition, Zevra DK agreed to assume an estimated reserve liability of $5.2 million related to revenue generated from Orphazyme’s Early Access Program in France, or the Arimoclomol EAP.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most advanced product candidate, arimoclomol, is being developed for the treatment of NPC, a lysosomal storage disease, or LSD. NPC is a rare neurodegenerative disease characterized by an inability of the body to transport cholesterol and lipids inside of cells. Symptoms of NPC include a progressive impairment of mobility, cognition, speech, and swallowing, often culminating in premature death. The incidence of NPC is estimated to be one in 100,000 live births. We estimate that approximately 1,500 individuals have been diagnosed, of which approximately 300 are in the United States and approximately 1,200 are in Europe. However, diagnostic challenges may affect the number of potential patients, and we believe that the availability of treatment options could increase awareness of the disease and assist in identifying more cases. Therapies to treat NPC are desperately needed, and for this reason, arimoclomol is currently being made available to NPC patients in the United States, France, Germany, and other European Union countries under various early access programs, or EAPs.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September 16, 2020, the previous sponsor of the arimoclomol program, Orphazyme, submitted a new drug application, or NDA, seeking approval for arimoclomol to treat NPC. In June 2021, the FDA issued a complete response letter, or CRL, which means the FDA determined that it could not approve the NDA in its present form. Our aim is to prepare and resubmit an NDA that presents meaningful evidence of safety and efficacy of arimoclomol for its intended use. To that end, we are continuing to work diligently to characterize the substantial data generated since the CRL, including the recently completed four-year open-label safety trial which was recently presented at the 19th World</w:t>
      </w:r>
      <w:r>
        <w:rPr>
          <w:rFonts w:ascii="Times New Roman" w:hAnsi="Times New Roman"/>
          <w:i/>
          <w:caps w:val="false"/>
          <w:smallCaps w:val="false"/>
          <w:sz w:val="20"/>
        </w:rPr>
        <w:t>Symposium</w:t>
      </w:r>
      <w:r>
        <w:rPr>
          <w:rFonts w:ascii="Times New Roman" w:hAnsi="Times New Roman"/>
          <w:smallCaps/>
          <w:sz w:val="20"/>
        </w:rPr>
        <w:t>TM</w:t>
      </w:r>
      <w:r>
        <w:rPr>
          <w:rFonts w:ascii="Times New Roman" w:hAnsi="Times New Roman"/>
          <w:caps w:val="false"/>
          <w:smallCaps w:val="false"/>
          <w:sz w:val="20"/>
        </w:rPr>
        <w:t xml:space="preserve"> in February 2023. Results from this analysis, based on up to four years of continuous treatment, suggest that arimoclomol may reduce the long-term progression of NPC. Upon fulfilling the randomized double-blinded portion of the phase 2/3 clinical trial, both placebo- and arimoclomol-treated patients were given the option to continue into the four-year (48 month) open-label-extension, or OLE, phase of the study with arimoclomol treatment provided in addition to their current standard of care. Progression of NPC disease through the DB and OLE phases was assessed utilizing the five-domain NPC Clinical Severity Scale (5DNPCCSS) and compared with an estimated progression calculated from the combination of untreated patients from the NPC-001 observational trial and placebo patients from the NPC-002 Phase 2/3 trial. We are also investigating correlations between relevant 5DNPCCSS domains and corresponding Scale for the Assessment and Rating of Ataxia, or SARA, test items to potentially provide further supportive evidence for 5DNPCCSS validity as a tool for evaluating NPC progression. The SARA test evaluates impairment related to cerebellar ataxia, which was a secondary endpoint in the Phase 2/3 clinical trial of arimoclomol in NPC (NPC progression based on the 5DNPCCSS was the primary endpoint). Based on a comparative analysis of both measurements, it was determined that individual 5DNPCCSS domains and relevant performance-based SARA test items showed strong associations and alignment between the two instruments for all analysis methods used. These results provide further support that the evaluated 5DNPCCSS domains are appropriately standardized to allow for reliable and reproducible scoring of disease severity in NPC. We plan to include these data as part of the updated NDA for arimoclomol, which is expected to be resubmitted to the FDA as early as the third quarter of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also intend to advance our pipeline of prodrug product candidates for the treatment of IH and other CNS/rare diseases, and we reported top-line data from a Phase 1 proof-of-concept study of SDX in the fourth quarter of 2021 and final data for the Phase 1 proof-of-concept study of SDX in the first quarter of 2022. The proof-of-concept study was a dose-escalation study to evaluate the pharmacokinetics, pharmacodynamic stimulant effects, and safety of single oral doses of SDX in subjects with a history of high-dose stimulant use. In the trial, 240 mg and 360 mg doses of SDX were observed to be well-tolerated and produced d-MPH exposure that appeared to increase proportionally with dose. Mean d-MPH plasma concentrations showed a gradual increase after SDX administration, reaching a broad peak from eight to twelve hours post-dose, followed by a shallow decline thereafter. Increased wakefulness, alertness, hypervigilance, and insomnia effects were reported by study participants, which we believe suggests that SDX produced targeted pharmacodynamic effects that have the potential to benefit patients with IH and other sleep disorders. On November 18, 2022, we announced that the FDA has granted the Orphan Drug Designation to SDX for the treatment of IH.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January 2022, we announced that we have selected KP1077 for the treatment of IH and narcolepsy as our lead clinical development candidate. KP1077 utilizes SDX, our prodrug of d-MPH, as its active pharmaceutical ingredient. During the first quarter of 2022, we initiated a Phase 1 clinical trial comparing the cardiovascular safety of SDX to immediate-release and long-acting formulations of RITALIN®, a commonly prescribed CNS stimulant. In September 2022, we announced topline data from our exploratory Phase 1 clinical trial, which showed the potential for higher dose formulations of SDX to be safe and well tolerated while avoiding the potential for greater cardiovascular safety risk compared to immediate-release and long-acting formulations of Ritalin. Based on the data, we have identified initial dosing strengths for the planned Phase 2 clinical trial of KP1077 which we believe have the potential to be well-tolerated while providing higher overall exposures to d-MPH compared to other methylphenidate products that are often used off-label as a treatment for IH. In addition, on December 21, 2022, we announced the initiation of a Phase 2 clinical trial evaluating KP1077. The Phase 2 clinical trial is a double-blind, placebo-controlled, randomized-withdrawal, dose-optimizing, multi-center study evaluating the efficacy and safety of KP1077 for the treatment of IH. We expect to enroll approximately 48 adult patients with IH in more than 30 centers in the United States. Part 1 of the trial will consist of a five-week open-label titration phase during which patients will be optimized to one of four doses of SDX (80, 160, 240, or 320 mg/day). Part 2 of the trial will entail a two-week randomized, double-blind, withdrawal phase, during which two-thirds of the trial participants will continue to receive their optimized dose while the remaining one-third will receive placebo. Participants will be further assigned into two evenly divided cohorts. The first cohort will receive a single daily dose just before bedtime, and the second cohort will receive half the daily dose shortly after awakening and half the daily dose prior to bedtime. Interim efficacy and safety data for the Phase 2 trial is expected as early as the third quarter of 2023. In May 2023, we announced that our Investigational New Drug (IND) application for KP1077 for the treatment of narcolepsy was accepted by the FDA to begin a Phase 1 clinical trial of KP1077 in narcolepsy. We plan to initiate the first of several Phase 1 clinical trials of KP1077 in narcolepsy as early as the end of 2023. These trials are expected to support both the narcolepsy and IH clinical development programs.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May 2021, we announced that SDX, our proprietary prodrug of d-MPH and the primary active pharmaceutical ingredient, or API, in AZSTARYS, was classified as a Schedule IV controlled substance by the DEA. AZSTARYS is classified as a Schedule II controlled substance as its formulation includes a 70:30 mixture of SDX (Schedule IV) and d-MPH (Schedule II),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Our Product Candidates and Approved Products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employed our proprietary LAT platform technology to create a portfolio of approved products that we believe will offer, and product candidates that we believe have the potential to offer, significant improvements over currently available FDA-approved drugs.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selection of our product candidates and approved products are summarized in the table below:</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Selected Zevra Partnered and Other Development Assets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3061"/>
        <w:gridCol w:w="76"/>
        <w:gridCol w:w="1666"/>
        <w:gridCol w:w="76"/>
        <w:gridCol w:w="1882"/>
        <w:gridCol w:w="76"/>
        <w:gridCol w:w="3368"/>
      </w:tblGrid>
      <w:tr>
        <w:trPr/>
        <w:tc>
          <w:tcPr>
            <w:tcW w:w="3061" w:type="dxa"/>
            <w:tcBorders>
              <w:bottom w:val="single" w:sz="2" w:space="0" w:color="000000"/>
            </w:tcBorders>
            <w:shd w:fill="FFFFFF" w:val="clear"/>
            <w:vAlign w:val="center"/>
          </w:tcPr>
          <w:p>
            <w:pPr>
              <w:pStyle w:val="TableContents"/>
              <w:bidi w:val="0"/>
              <w:spacing w:before="0" w:after="0"/>
              <w:ind w:left="180" w:right="0" w:hanging="0"/>
              <w:jc w:val="left"/>
              <w:rPr>
                <w:rFonts w:ascii="Times New Roman;Times;serif" w:hAnsi="Times New Roman;Times;serif"/>
                <w:b/>
                <w:sz w:val="20"/>
              </w:rPr>
            </w:pPr>
            <w:r>
              <w:rPr>
                <w:rFonts w:ascii="Times New Roman;Times;serif" w:hAnsi="Times New Roman;Times;serif"/>
                <w:b/>
                <w:sz w:val="20"/>
              </w:rPr>
              <w:t>Parent Drug (Effect Profile) - Indication</w:t>
            </w:r>
          </w:p>
        </w:tc>
        <w:tc>
          <w:tcPr>
            <w:tcW w:w="76" w:type="dxa"/>
            <w:tcBorders/>
            <w:shd w:fill="FFFFFF" w:val="clear"/>
            <w:tcMar>
              <w:bottom w:w="0" w:type="dxa"/>
            </w:tcMar>
            <w:vAlign w:val="center"/>
          </w:tcPr>
          <w:p>
            <w:pPr>
              <w:pStyle w:val="TableContents"/>
              <w:bidi w:val="0"/>
              <w:spacing w:before="0" w:after="283"/>
              <w:jc w:val="left"/>
              <w:rPr/>
            </w:pPr>
            <w:r>
              <w:rPr/>
              <w:t> </w:t>
            </w:r>
          </w:p>
        </w:tc>
        <w:tc>
          <w:tcPr>
            <w:tcW w:w="1666"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Product Candidate </w:t>
            </w:r>
          </w:p>
        </w:tc>
        <w:tc>
          <w:tcPr>
            <w:tcW w:w="76" w:type="dxa"/>
            <w:tcBorders/>
            <w:shd w:fill="FFFFFF" w:val="clear"/>
            <w:tcMar>
              <w:bottom w:w="0" w:type="dxa"/>
            </w:tcMar>
            <w:vAlign w:val="center"/>
          </w:tcPr>
          <w:p>
            <w:pPr>
              <w:pStyle w:val="TableContents"/>
              <w:bidi w:val="0"/>
              <w:spacing w:before="0" w:after="283"/>
              <w:jc w:val="left"/>
              <w:rPr/>
            </w:pPr>
            <w:r>
              <w:rPr/>
              <w:t> </w:t>
            </w:r>
          </w:p>
        </w:tc>
        <w:tc>
          <w:tcPr>
            <w:tcW w:w="1882"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Development Status</w:t>
            </w:r>
          </w:p>
        </w:tc>
        <w:tc>
          <w:tcPr>
            <w:tcW w:w="76" w:type="dxa"/>
            <w:tcBorders/>
            <w:shd w:fill="FFFFFF" w:val="clear"/>
            <w:tcMar>
              <w:bottom w:w="0" w:type="dxa"/>
            </w:tcMar>
            <w:vAlign w:val="center"/>
          </w:tcPr>
          <w:p>
            <w:pPr>
              <w:pStyle w:val="TableContents"/>
              <w:bidi w:val="0"/>
              <w:spacing w:before="0" w:after="283"/>
              <w:jc w:val="left"/>
              <w:rPr/>
            </w:pPr>
            <w:r>
              <w:rPr/>
              <w:t> </w:t>
            </w:r>
          </w:p>
        </w:tc>
        <w:tc>
          <w:tcPr>
            <w:tcW w:w="3368"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Next Milestone(s)</w:t>
            </w:r>
          </w:p>
        </w:tc>
      </w:tr>
      <w:tr>
        <w:trPr/>
        <w:tc>
          <w:tcPr>
            <w:tcW w:w="306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Arimoclomol (ER) - NPC</w:t>
            </w:r>
          </w:p>
        </w:tc>
        <w:tc>
          <w:tcPr>
            <w:tcW w:w="76" w:type="dxa"/>
            <w:tcBorders/>
            <w:shd w:fill="CCEEFF" w:val="clear"/>
            <w:tcMar>
              <w:bottom w:w="0" w:type="dxa"/>
            </w:tcMar>
            <w:vAlign w:val="center"/>
          </w:tcPr>
          <w:p>
            <w:pPr>
              <w:pStyle w:val="TableContents"/>
              <w:bidi w:val="0"/>
              <w:spacing w:before="0" w:after="283"/>
              <w:jc w:val="left"/>
              <w:rPr/>
            </w:pPr>
            <w:r>
              <w:rPr/>
              <w:t> </w:t>
            </w:r>
          </w:p>
        </w:tc>
        <w:tc>
          <w:tcPr>
            <w:tcW w:w="166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Arimoclomol</w:t>
            </w:r>
          </w:p>
        </w:tc>
        <w:tc>
          <w:tcPr>
            <w:tcW w:w="76" w:type="dxa"/>
            <w:tcBorders/>
            <w:shd w:fill="CCEEFF" w:val="clear"/>
            <w:tcMar>
              <w:bottom w:w="0" w:type="dxa"/>
            </w:tcMar>
            <w:vAlign w:val="center"/>
          </w:tcPr>
          <w:p>
            <w:pPr>
              <w:pStyle w:val="TableContents"/>
              <w:bidi w:val="0"/>
              <w:spacing w:before="0" w:after="283"/>
              <w:jc w:val="left"/>
              <w:rPr/>
            </w:pPr>
            <w:r>
              <w:rPr/>
              <w:t> </w:t>
            </w:r>
          </w:p>
        </w:tc>
        <w:tc>
          <w:tcPr>
            <w:tcW w:w="188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NDA Preparation</w:t>
            </w:r>
          </w:p>
        </w:tc>
        <w:tc>
          <w:tcPr>
            <w:tcW w:w="76" w:type="dxa"/>
            <w:tcBorders/>
            <w:shd w:fill="CCEEFF" w:val="clear"/>
            <w:tcMar>
              <w:bottom w:w="0" w:type="dxa"/>
            </w:tcMar>
            <w:vAlign w:val="center"/>
          </w:tcPr>
          <w:p>
            <w:pPr>
              <w:pStyle w:val="TableContents"/>
              <w:bidi w:val="0"/>
              <w:spacing w:before="0" w:after="283"/>
              <w:jc w:val="left"/>
              <w:rPr/>
            </w:pPr>
            <w:r>
              <w:rPr/>
              <w:t> </w:t>
            </w:r>
          </w:p>
        </w:tc>
        <w:tc>
          <w:tcPr>
            <w:tcW w:w="336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NDA resubmission as early as Q3 2023</w:t>
            </w:r>
          </w:p>
        </w:tc>
      </w:tr>
      <w:tr>
        <w:trPr/>
        <w:tc>
          <w:tcPr>
            <w:tcW w:w="306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Methylphenidate (ER) - IH</w:t>
            </w:r>
          </w:p>
        </w:tc>
        <w:tc>
          <w:tcPr>
            <w:tcW w:w="76" w:type="dxa"/>
            <w:tcBorders/>
            <w:shd w:fill="FFFFFF" w:val="clear"/>
            <w:tcMar>
              <w:bottom w:w="0" w:type="dxa"/>
            </w:tcMar>
            <w:vAlign w:val="center"/>
          </w:tcPr>
          <w:p>
            <w:pPr>
              <w:pStyle w:val="TableContents"/>
              <w:bidi w:val="0"/>
              <w:spacing w:before="0" w:after="283"/>
              <w:jc w:val="left"/>
              <w:rPr/>
            </w:pPr>
            <w:r>
              <w:rPr/>
              <w:t> </w:t>
            </w:r>
          </w:p>
        </w:tc>
        <w:tc>
          <w:tcPr>
            <w:tcW w:w="1666"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KP1077IH*</w:t>
            </w:r>
          </w:p>
        </w:tc>
        <w:tc>
          <w:tcPr>
            <w:tcW w:w="76" w:type="dxa"/>
            <w:tcBorders/>
            <w:shd w:fill="FFFFFF" w:val="clear"/>
            <w:tcMar>
              <w:bottom w:w="0" w:type="dxa"/>
            </w:tcMar>
            <w:vAlign w:val="center"/>
          </w:tcPr>
          <w:p>
            <w:pPr>
              <w:pStyle w:val="TableContents"/>
              <w:bidi w:val="0"/>
              <w:spacing w:before="0" w:after="283"/>
              <w:jc w:val="left"/>
              <w:rPr/>
            </w:pPr>
            <w:r>
              <w:rPr/>
              <w:t> </w:t>
            </w:r>
          </w:p>
        </w:tc>
        <w:tc>
          <w:tcPr>
            <w:tcW w:w="1882"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Clinical - Phase 2</w:t>
            </w:r>
          </w:p>
        </w:tc>
        <w:tc>
          <w:tcPr>
            <w:tcW w:w="76" w:type="dxa"/>
            <w:tcBorders/>
            <w:shd w:fill="FFFFFF" w:val="clear"/>
            <w:tcMar>
              <w:bottom w:w="0" w:type="dxa"/>
            </w:tcMar>
            <w:vAlign w:val="center"/>
          </w:tcPr>
          <w:p>
            <w:pPr>
              <w:pStyle w:val="TableContents"/>
              <w:bidi w:val="0"/>
              <w:spacing w:before="0" w:after="283"/>
              <w:jc w:val="left"/>
              <w:rPr/>
            </w:pPr>
            <w:r>
              <w:rPr/>
              <w:t> </w:t>
            </w:r>
          </w:p>
        </w:tc>
        <w:tc>
          <w:tcPr>
            <w:tcW w:w="3368"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Pivotal Phase 2 Trial ongoing - interim results as early as Q3 2023</w:t>
            </w:r>
          </w:p>
        </w:tc>
      </w:tr>
      <w:tr>
        <w:trPr/>
        <w:tc>
          <w:tcPr>
            <w:tcW w:w="306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Methylphenidate (ER) - Narcolepsy Types I and II</w:t>
            </w:r>
          </w:p>
        </w:tc>
        <w:tc>
          <w:tcPr>
            <w:tcW w:w="76" w:type="dxa"/>
            <w:tcBorders/>
            <w:shd w:fill="CCEEFF" w:val="clear"/>
            <w:tcMar>
              <w:bottom w:w="0" w:type="dxa"/>
            </w:tcMar>
            <w:vAlign w:val="center"/>
          </w:tcPr>
          <w:p>
            <w:pPr>
              <w:pStyle w:val="TableContents"/>
              <w:bidi w:val="0"/>
              <w:spacing w:before="0" w:after="0"/>
              <w:jc w:val="left"/>
              <w:rPr/>
            </w:pPr>
            <w:r>
              <w:rPr/>
              <w:t> </w:t>
            </w:r>
          </w:p>
        </w:tc>
        <w:tc>
          <w:tcPr>
            <w:tcW w:w="1666"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KP1077N*</w:t>
            </w:r>
          </w:p>
        </w:tc>
        <w:tc>
          <w:tcPr>
            <w:tcW w:w="76" w:type="dxa"/>
            <w:tcBorders/>
            <w:shd w:fill="CCEEFF" w:val="clear"/>
            <w:tcMar>
              <w:bottom w:w="0" w:type="dxa"/>
            </w:tcMar>
            <w:vAlign w:val="center"/>
          </w:tcPr>
          <w:p>
            <w:pPr>
              <w:pStyle w:val="TableContents"/>
              <w:bidi w:val="0"/>
              <w:spacing w:before="0" w:after="0"/>
              <w:ind w:left="0" w:right="0" w:hanging="0"/>
              <w:jc w:val="left"/>
              <w:rPr/>
            </w:pPr>
            <w:r>
              <w:rPr/>
              <w:t> </w:t>
            </w:r>
          </w:p>
        </w:tc>
        <w:tc>
          <w:tcPr>
            <w:tcW w:w="1882"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Clinical - Phase 1/2</w:t>
            </w:r>
          </w:p>
        </w:tc>
        <w:tc>
          <w:tcPr>
            <w:tcW w:w="76" w:type="dxa"/>
            <w:tcBorders/>
            <w:shd w:fill="CCEEFF" w:val="clear"/>
            <w:tcMar>
              <w:bottom w:w="0" w:type="dxa"/>
            </w:tcMar>
            <w:vAlign w:val="center"/>
          </w:tcPr>
          <w:p>
            <w:pPr>
              <w:pStyle w:val="TableContents"/>
              <w:bidi w:val="0"/>
              <w:spacing w:before="0" w:after="0"/>
              <w:ind w:left="0" w:right="0" w:hanging="0"/>
              <w:jc w:val="left"/>
              <w:rPr/>
            </w:pPr>
            <w:r>
              <w:rPr/>
              <w:t> </w:t>
            </w:r>
          </w:p>
        </w:tc>
        <w:tc>
          <w:tcPr>
            <w:tcW w:w="3368"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Phase 1 Trial - initiation prior to year-end</w:t>
            </w:r>
          </w:p>
        </w:tc>
      </w:tr>
      <w:tr>
        <w:trPr/>
        <w:tc>
          <w:tcPr>
            <w:tcW w:w="3061"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Methylphenidate (ER) - ADHD</w:t>
            </w:r>
          </w:p>
        </w:tc>
        <w:tc>
          <w:tcPr>
            <w:tcW w:w="76" w:type="dxa"/>
            <w:tcBorders/>
            <w:shd w:fill="FFFFFF" w:val="clear"/>
            <w:tcMar>
              <w:bottom w:w="0" w:type="dxa"/>
            </w:tcMar>
            <w:vAlign w:val="center"/>
          </w:tcPr>
          <w:p>
            <w:pPr>
              <w:pStyle w:val="TableContents"/>
              <w:bidi w:val="0"/>
              <w:spacing w:before="0" w:after="0"/>
              <w:ind w:left="0" w:right="0" w:hanging="0"/>
              <w:jc w:val="left"/>
              <w:rPr/>
            </w:pPr>
            <w:r>
              <w:rPr/>
              <w:t> </w:t>
            </w:r>
          </w:p>
        </w:tc>
        <w:tc>
          <w:tcPr>
            <w:tcW w:w="1666"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AZSTARYS</w:t>
            </w:r>
          </w:p>
        </w:tc>
        <w:tc>
          <w:tcPr>
            <w:tcW w:w="76" w:type="dxa"/>
            <w:tcBorders/>
            <w:shd w:fill="FFFFFF" w:val="clear"/>
            <w:tcMar>
              <w:bottom w:w="0" w:type="dxa"/>
            </w:tcMar>
            <w:vAlign w:val="center"/>
          </w:tcPr>
          <w:p>
            <w:pPr>
              <w:pStyle w:val="TableContents"/>
              <w:bidi w:val="0"/>
              <w:spacing w:before="0" w:after="0"/>
              <w:ind w:left="0" w:right="0" w:hanging="0"/>
              <w:jc w:val="left"/>
              <w:rPr/>
            </w:pPr>
            <w:r>
              <w:rPr/>
              <w:t> </w:t>
            </w:r>
          </w:p>
        </w:tc>
        <w:tc>
          <w:tcPr>
            <w:tcW w:w="1882"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FDA Approved/Partnered</w:t>
            </w:r>
          </w:p>
        </w:tc>
        <w:tc>
          <w:tcPr>
            <w:tcW w:w="76" w:type="dxa"/>
            <w:tcBorders/>
            <w:shd w:fill="FFFFFF" w:val="clear"/>
            <w:tcMar>
              <w:bottom w:w="0" w:type="dxa"/>
            </w:tcMar>
            <w:vAlign w:val="center"/>
          </w:tcPr>
          <w:p>
            <w:pPr>
              <w:pStyle w:val="TableContents"/>
              <w:bidi w:val="0"/>
              <w:spacing w:before="0" w:after="0"/>
              <w:ind w:left="0" w:right="0" w:hanging="0"/>
              <w:jc w:val="left"/>
              <w:rPr/>
            </w:pPr>
            <w:r>
              <w:rPr/>
              <w:t> </w:t>
            </w:r>
          </w:p>
        </w:tc>
        <w:tc>
          <w:tcPr>
            <w:tcW w:w="3368"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Tracking TRx's</w:t>
            </w:r>
          </w:p>
        </w:tc>
      </w:tr>
      <w:tr>
        <w:trPr/>
        <w:tc>
          <w:tcPr>
            <w:tcW w:w="3061"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1666" w:type="dxa"/>
            <w:tcBorders/>
            <w:shd w:fill="CCEEFF" w:val="clear"/>
            <w:tcMar>
              <w:bottom w:w="0" w:type="dxa"/>
            </w:tcMar>
            <w:vAlign w:val="center"/>
          </w:tcPr>
          <w:p>
            <w:pPr>
              <w:pStyle w:val="TableContents"/>
              <w:bidi w:val="0"/>
              <w:spacing w:before="0" w:after="283"/>
              <w:jc w:val="center"/>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1882"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3368"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10205" w:type="dxa"/>
            <w:gridSpan w:val="7"/>
            <w:tcBorders/>
            <w:shd w:fill="FFFFFF" w:val="clear"/>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This product candidate is subject to a right of first negotiation upon completion of a Phase 1 proof-of-concept study in favor of Commave under the terms of the AZSTARYS License Agreement, but is not currently licensed to Commave, thereunder.</w:t>
            </w:r>
          </w:p>
        </w:tc>
      </w:tr>
      <w:tr>
        <w:trPr/>
        <w:tc>
          <w:tcPr>
            <w:tcW w:w="10205" w:type="dxa"/>
            <w:gridSpan w:val="7"/>
            <w:tcBorders/>
            <w:shd w:fill="CCEEFF" w:val="clear"/>
            <w:tcMar>
              <w:bottom w:w="0" w:type="dxa"/>
            </w:tcM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These anticipated milestones are based on information currently available to us. Our current plans and expectations are subject to a number of uncertainties, risks, and other important factors that could materially impact our plans, including risks which are not solely within our control. See Part I, Item 1A. “Risk Factors” of our Annual Report on Form 10-K for the fiscal year ended December 31, 2022, filed with the SEC on March 7, 2023.</w:t>
            </w:r>
          </w:p>
        </w:tc>
      </w:tr>
    </w:tbl>
    <w:p>
      <w:pPr>
        <w:pStyle w:val="TextBody"/>
        <w:bidi w:val="0"/>
        <w:spacing w:before="0" w:after="0"/>
        <w:ind w:left="4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Other Third-Party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Under our March 2012 termination agreement with Aquestive, Aquestive has the right to receive a royalty amount equal to 10% of any value generated by AZSTARYS and any product candidates containing SDX.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July 2020, we entered into the Corium Consulting Agreement under which Corium and Commave, respectively, engaged us to guide the product development and regulatory activities for certain current and potential future products in their portfolio, as well as continue supporting preparation for the potential commercial launch of AZSTARYS. Under the Corium Consulting Agreement, we are entitled to receive payments from Corium of up to $15.6 million, $13.6 million of which was paid in quarterly installments through March 31, 2022. The remaining $2.0 million was conditioned upon the approval by the FDA of the NDA for Corium's product candidate, ADLARITY. This $2.0 million was earned in the first quarter of 2022. Corium also agreed to be responsible for and reimburse us for all development, commercialization and regulatory expenses incurred as part of the performance of the consulting services.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Comparison of the three months ended March 31, 2023 and 2022 (in thousands):</w:t>
      </w:r>
    </w:p>
    <w:p>
      <w:pPr>
        <w:pStyle w:val="TextBody"/>
        <w:bidi w:val="0"/>
        <w:spacing w:before="0" w:after="0"/>
        <w:ind w:left="0" w:right="0" w:hanging="0"/>
        <w:jc w:val="both"/>
        <w:rPr/>
      </w:pPr>
      <w:r>
        <w:rPr/>
        <w:t> </w:t>
      </w:r>
    </w:p>
    <w:tbl>
      <w:tblPr>
        <w:tblW w:w="9351" w:type="dxa"/>
        <w:jc w:val="left"/>
        <w:tblInd w:w="0" w:type="dxa"/>
        <w:tblLayout w:type="fixed"/>
        <w:tblCellMar>
          <w:top w:w="0" w:type="dxa"/>
          <w:left w:w="0" w:type="dxa"/>
          <w:bottom w:w="0" w:type="dxa"/>
          <w:right w:w="0" w:type="dxa"/>
        </w:tblCellMar>
      </w:tblPr>
      <w:tblGrid>
        <w:gridCol w:w="5150"/>
        <w:gridCol w:w="60"/>
        <w:gridCol w:w="208"/>
        <w:gridCol w:w="1084"/>
        <w:gridCol w:w="133"/>
        <w:gridCol w:w="100"/>
        <w:gridCol w:w="208"/>
        <w:gridCol w:w="909"/>
        <w:gridCol w:w="80"/>
        <w:gridCol w:w="60"/>
        <w:gridCol w:w="205"/>
        <w:gridCol w:w="1074"/>
        <w:gridCol w:w="80"/>
      </w:tblGrid>
      <w:tr>
        <w:trPr/>
        <w:tc>
          <w:tcPr>
            <w:tcW w:w="51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4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March 31,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Period-to-</w:t>
            </w:r>
          </w:p>
        </w:tc>
        <w:tc>
          <w:tcPr>
            <w:tcW w:w="80" w:type="dxa"/>
            <w:tcBorders/>
            <w:shd w:fill="FFFF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3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111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Period Change</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Revenue, net</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2,879</w:t>
            </w:r>
          </w:p>
        </w:tc>
        <w:tc>
          <w:tcPr>
            <w:tcW w:w="133"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(1,086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1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Cost of revenue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w:t>
            </w:r>
          </w:p>
        </w:tc>
        <w:tc>
          <w:tcPr>
            <w:tcW w:w="133"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10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w:t>
            </w:r>
          </w:p>
        </w:tc>
        <w:tc>
          <w:tcPr>
            <w:tcW w:w="80"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8,844</w:t>
            </w:r>
          </w:p>
        </w:tc>
        <w:tc>
          <w:tcPr>
            <w:tcW w:w="133"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10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5,762</w:t>
            </w:r>
          </w:p>
        </w:tc>
        <w:tc>
          <w:tcPr>
            <w:tcW w:w="80"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6,834</w:t>
            </w:r>
          </w:p>
        </w:tc>
        <w:tc>
          <w:tcPr>
            <w:tcW w:w="13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2,734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4,100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15,803</w:t>
            </w:r>
          </w:p>
        </w:tc>
        <w:tc>
          <w:tcPr>
            <w:tcW w:w="13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9,979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(12,924</w:t>
            </w:r>
          </w:p>
        </w:tc>
        <w:tc>
          <w:tcPr>
            <w:tcW w:w="133"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0" w:type="dxa"/>
            <w:tcBorders/>
            <w:shd w:fill="CCEEFF" w:val="clear"/>
            <w:vAlign w:val="center"/>
          </w:tcPr>
          <w:p>
            <w:pPr>
              <w:pStyle w:val="TableContents"/>
              <w:bidi w:val="0"/>
              <w:spacing w:before="0" w:after="283"/>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(1,859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(11,065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1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(expense) income:</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(182</w:t>
            </w:r>
          </w:p>
        </w:tc>
        <w:tc>
          <w:tcPr>
            <w:tcW w:w="13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10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1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Fair value adjustment related to derivative and warrant liability</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13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10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150" w:type="dxa"/>
            <w:tcBorders/>
            <w:shd w:fill="CCEEFF" w:val="clear"/>
            <w:vAlign w:val="center"/>
          </w:tcPr>
          <w:p>
            <w:pPr>
              <w:pStyle w:val="TableContents"/>
              <w:bidi w:val="0"/>
              <w:spacing w:before="0" w:after="0"/>
              <w:ind w:left="180" w:right="180" w:hanging="0"/>
              <w:jc w:val="left"/>
              <w:rPr>
                <w:rFonts w:ascii="Times New Roman" w:hAnsi="Times New Roman"/>
                <w:sz w:val="20"/>
              </w:rPr>
            </w:pPr>
            <w:r>
              <w:rPr>
                <w:rFonts w:ascii="Times New Roman" w:hAnsi="Times New Roman"/>
                <w:sz w:val="20"/>
              </w:rPr>
              <w:t>Fair value adjustment related to investments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196</w:t>
            </w:r>
          </w:p>
        </w:tc>
        <w:tc>
          <w:tcPr>
            <w:tcW w:w="133"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(352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548</w:t>
            </w:r>
          </w:p>
        </w:tc>
        <w:tc>
          <w:tcPr>
            <w:tcW w:w="80"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and other income, net</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1,042</w:t>
            </w:r>
          </w:p>
        </w:tc>
        <w:tc>
          <w:tcPr>
            <w:tcW w:w="13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other (expense) income</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1,054</w:t>
            </w:r>
          </w:p>
        </w:tc>
        <w:tc>
          <w:tcPr>
            <w:tcW w:w="13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before income taxes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(11,870</w:t>
            </w:r>
          </w:p>
        </w:tc>
        <w:tc>
          <w:tcPr>
            <w:tcW w:w="13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(1,868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10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1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tax benefit</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w:t>
            </w:r>
          </w:p>
        </w:tc>
        <w:tc>
          <w:tcPr>
            <w:tcW w:w="13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(11,767</w:t>
            </w:r>
          </w:p>
        </w:tc>
        <w:tc>
          <w:tcPr>
            <w:tcW w:w="133"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0" w:type="dxa"/>
            <w:tcBorders/>
            <w:shd w:fill="FFFFFF" w:val="clear"/>
            <w:vAlign w:val="center"/>
          </w:tcPr>
          <w:p>
            <w:pPr>
              <w:pStyle w:val="TableContents"/>
              <w:bidi w:val="0"/>
              <w:spacing w:before="0" w:after="283"/>
              <w:ind w:left="0" w:right="0" w:hanging="0"/>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(1,864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(9,903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1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 attributable to common stockholders</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(11,767</w:t>
            </w:r>
          </w:p>
        </w:tc>
        <w:tc>
          <w:tcPr>
            <w:tcW w:w="13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(1,864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(9,903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Net Loss Attributable to Common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loss attributable to common stockholders for the three months ended March 31, 2023, was $11</w:t>
      </w:r>
      <w:r>
        <w:rPr>
          <w:rFonts w:ascii="Times New Roman" w:hAnsi="Times New Roman"/>
          <w:caps w:val="false"/>
          <w:smallCaps w:val="false"/>
          <w:sz w:val="20"/>
          <w:shd w:fill="FFFFFF" w:val="clear"/>
        </w:rPr>
        <w:t>.8 </w:t>
      </w:r>
      <w:r>
        <w:rPr>
          <w:rFonts w:ascii="Times New Roman" w:hAnsi="Times New Roman"/>
          <w:caps w:val="false"/>
          <w:smallCaps w:val="false"/>
          <w:sz w:val="20"/>
        </w:rPr>
        <w:t>million compared to net loss attributable to common stockholders of $1.9 million for the three months ended March 31, 2022, a change of $9</w:t>
      </w:r>
      <w:r>
        <w:rPr>
          <w:rFonts w:ascii="Times New Roman" w:hAnsi="Times New Roman"/>
          <w:caps w:val="false"/>
          <w:smallCaps w:val="false"/>
          <w:sz w:val="20"/>
          <w:shd w:fill="FFFFFF" w:val="clear"/>
        </w:rPr>
        <w:t>.9 </w:t>
      </w:r>
      <w:r>
        <w:rPr>
          <w:rFonts w:ascii="Times New Roman" w:hAnsi="Times New Roman"/>
          <w:caps w:val="false"/>
          <w:smallCaps w:val="false"/>
          <w:sz w:val="20"/>
        </w:rPr>
        <w:t>million. The change was primarily attributable to a change in loss from operations of $11.1</w:t>
      </w:r>
      <w:r>
        <w:rPr>
          <w:rFonts w:ascii="Times New Roman" w:hAnsi="Times New Roman"/>
          <w:caps w:val="false"/>
          <w:smallCaps w:val="false"/>
          <w:sz w:val="20"/>
          <w:shd w:fill="FFFFFF" w:val="clear"/>
        </w:rPr>
        <w:t> </w:t>
      </w:r>
      <w:r>
        <w:rPr>
          <w:rFonts w:ascii="Times New Roman" w:hAnsi="Times New Roman"/>
          <w:caps w:val="false"/>
          <w:smallCaps w:val="false"/>
          <w:sz w:val="20"/>
        </w:rPr>
        <w:t>million; partially offset by a change in other (expense) income of $1</w:t>
      </w:r>
      <w:r>
        <w:rPr>
          <w:rFonts w:ascii="Times New Roman" w:hAnsi="Times New Roman"/>
          <w:caps w:val="false"/>
          <w:smallCaps w:val="false"/>
          <w:sz w:val="20"/>
          <w:shd w:fill="FFFFFF" w:val="clear"/>
        </w:rPr>
        <w:t>.1 m</w:t>
      </w:r>
      <w:r>
        <w:rPr>
          <w:rFonts w:ascii="Times New Roman" w:hAnsi="Times New Roman"/>
          <w:caps w:val="false"/>
          <w:smallCaps w:val="false"/>
          <w:sz w:val="20"/>
        </w:rPr>
        <w:t>illion.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 for the three months ended March 31, 2023, was $2</w:t>
      </w:r>
      <w:r>
        <w:rPr>
          <w:rFonts w:ascii="Times New Roman" w:hAnsi="Times New Roman"/>
          <w:caps w:val="false"/>
          <w:smallCaps w:val="false"/>
          <w:sz w:val="20"/>
          <w:shd w:fill="FFFFFF" w:val="clear"/>
        </w:rPr>
        <w:t>.9 </w:t>
      </w:r>
      <w:r>
        <w:rPr>
          <w:rFonts w:ascii="Times New Roman" w:hAnsi="Times New Roman"/>
          <w:caps w:val="false"/>
          <w:smallCaps w:val="false"/>
          <w:sz w:val="20"/>
        </w:rPr>
        <w:t>million, a decrease of $1.1</w:t>
      </w:r>
      <w:r>
        <w:rPr>
          <w:rFonts w:ascii="Times New Roman" w:hAnsi="Times New Roman"/>
          <w:caps w:val="false"/>
          <w:smallCaps w:val="false"/>
          <w:sz w:val="20"/>
          <w:shd w:fill="FFFFFF" w:val="clear"/>
        </w:rPr>
        <w:t> m</w:t>
      </w:r>
      <w:r>
        <w:rPr>
          <w:rFonts w:ascii="Times New Roman" w:hAnsi="Times New Roman"/>
          <w:caps w:val="false"/>
          <w:smallCaps w:val="false"/>
          <w:sz w:val="20"/>
        </w:rPr>
        <w:t>illion compared to revenue of $4.0 million for the three months ended March 31, 2022. The decrease was primarily attributable to a decrease in revenue of $3.2 million from the Corium Consulting Agreement, partially offset by an increase in revenue of $2.1 million under the Arimoclomol EAP.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Cost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Cost of revenue for the three months ended March 31, 2023, was </w:t>
      </w:r>
      <w:r>
        <w:rPr>
          <w:rFonts w:ascii="Times New Roman" w:hAnsi="Times New Roman"/>
          <w:caps w:val="false"/>
          <w:smallCaps w:val="false"/>
          <w:sz w:val="20"/>
          <w:shd w:fill="FFFFFF" w:val="clear"/>
        </w:rPr>
        <w:t>$0.1 m</w:t>
      </w:r>
      <w:r>
        <w:rPr>
          <w:rFonts w:ascii="Times New Roman" w:hAnsi="Times New Roman"/>
          <w:caps w:val="false"/>
          <w:smallCaps w:val="false"/>
          <w:sz w:val="20"/>
        </w:rPr>
        <w:t>illion, an increase o</w:t>
      </w:r>
      <w:r>
        <w:rPr>
          <w:rFonts w:ascii="Times New Roman" w:hAnsi="Times New Roman"/>
          <w:caps w:val="false"/>
          <w:smallCaps w:val="false"/>
          <w:sz w:val="20"/>
          <w:shd w:fill="FFFFFF" w:val="clear"/>
        </w:rPr>
        <w:t xml:space="preserve">f $0.1 </w:t>
      </w:r>
      <w:r>
        <w:rPr>
          <w:rFonts w:ascii="Times New Roman" w:hAnsi="Times New Roman"/>
          <w:caps w:val="false"/>
          <w:smallCaps w:val="false"/>
          <w:sz w:val="20"/>
        </w:rPr>
        <w:t>million compared to $8,000 cost of revenue for the three months ended March 31, 2022. The increase was primarily attributable to cost of goods sold under the Arimoclomol EAP.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Research and development expenses increased by</w:t>
      </w:r>
      <w:r>
        <w:rPr>
          <w:rFonts w:ascii="Times New Roman" w:hAnsi="Times New Roman"/>
          <w:caps w:val="false"/>
          <w:smallCaps w:val="false"/>
          <w:sz w:val="20"/>
          <w:shd w:fill="FFFFFF" w:val="clear"/>
        </w:rPr>
        <w:t xml:space="preserve"> $5.7 </w:t>
      </w:r>
      <w:r>
        <w:rPr>
          <w:rFonts w:ascii="Times New Roman" w:hAnsi="Times New Roman"/>
          <w:caps w:val="false"/>
          <w:smallCaps w:val="false"/>
          <w:sz w:val="20"/>
        </w:rPr>
        <w:t>million, from $3.1 million for the three months ended March 31, 2022, to $8</w:t>
      </w:r>
      <w:r>
        <w:rPr>
          <w:rFonts w:ascii="Times New Roman" w:hAnsi="Times New Roman"/>
          <w:caps w:val="false"/>
          <w:smallCaps w:val="false"/>
          <w:sz w:val="20"/>
          <w:shd w:fill="FFFFFF" w:val="clear"/>
        </w:rPr>
        <w:t>.8</w:t>
      </w:r>
      <w:r>
        <w:rPr>
          <w:rFonts w:ascii="Times New Roman" w:hAnsi="Times New Roman"/>
          <w:caps w:val="false"/>
          <w:smallCaps w:val="false"/>
          <w:sz w:val="20"/>
        </w:rPr>
        <w:t> million for the three months ended March 31, 2023. This increase was primarily attributable to an increase in third-party research and development costs o</w:t>
      </w:r>
      <w:r>
        <w:rPr>
          <w:rFonts w:ascii="Times New Roman" w:hAnsi="Times New Roman"/>
          <w:caps w:val="false"/>
          <w:smallCaps w:val="false"/>
          <w:sz w:val="20"/>
          <w:shd w:fill="FFFFFF" w:val="clear"/>
        </w:rPr>
        <w:t>f $3.7 </w:t>
      </w:r>
      <w:r>
        <w:rPr>
          <w:rFonts w:ascii="Times New Roman" w:hAnsi="Times New Roman"/>
          <w:caps w:val="false"/>
          <w:smallCaps w:val="false"/>
          <w:sz w:val="20"/>
        </w:rPr>
        <w:t>million, an increase in personnel-related costs of</w:t>
      </w:r>
      <w:r>
        <w:rPr>
          <w:rFonts w:ascii="Times New Roman" w:hAnsi="Times New Roman"/>
          <w:caps w:val="false"/>
          <w:smallCaps w:val="false"/>
          <w:sz w:val="20"/>
          <w:shd w:fill="FFFFFF" w:val="clear"/>
        </w:rPr>
        <w:t xml:space="preserve"> $1.7 million </w:t>
      </w:r>
      <w:r>
        <w:rPr>
          <w:rFonts w:ascii="Times New Roman" w:hAnsi="Times New Roman"/>
          <w:caps w:val="false"/>
          <w:smallCaps w:val="false"/>
          <w:sz w:val="20"/>
        </w:rPr>
        <w:t xml:space="preserve">and an increase in other research and development costs of </w:t>
      </w:r>
      <w:r>
        <w:rPr>
          <w:rFonts w:ascii="Times New Roman" w:hAnsi="Times New Roman"/>
          <w:caps w:val="false"/>
          <w:smallCaps w:val="false"/>
          <w:sz w:val="20"/>
          <w:shd w:fill="FFFFFF" w:val="clear"/>
        </w:rPr>
        <w:t>$0.3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Selling, General and Administrative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Selling, general and administrative expenses increased b</w:t>
      </w:r>
      <w:r>
        <w:rPr>
          <w:rFonts w:ascii="Times New Roman" w:hAnsi="Times New Roman"/>
          <w:caps w:val="false"/>
          <w:smallCaps w:val="false"/>
          <w:sz w:val="20"/>
          <w:shd w:fill="FFFFFF" w:val="clear"/>
        </w:rPr>
        <w:t>y $4.1 m</w:t>
      </w:r>
      <w:r>
        <w:rPr>
          <w:rFonts w:ascii="Times New Roman" w:hAnsi="Times New Roman"/>
          <w:caps w:val="false"/>
          <w:smallCaps w:val="false"/>
          <w:sz w:val="20"/>
        </w:rPr>
        <w:t xml:space="preserve">illion, from $2.7 million for the three months ended March 31, 2022, to </w:t>
      </w:r>
      <w:r>
        <w:rPr>
          <w:rFonts w:ascii="Times New Roman" w:hAnsi="Times New Roman"/>
          <w:caps w:val="false"/>
          <w:smallCaps w:val="false"/>
          <w:sz w:val="20"/>
          <w:shd w:fill="FFFFFF" w:val="clear"/>
        </w:rPr>
        <w:t>$6.8 mill</w:t>
      </w:r>
      <w:r>
        <w:rPr>
          <w:rFonts w:ascii="Times New Roman" w:hAnsi="Times New Roman"/>
          <w:caps w:val="false"/>
          <w:smallCaps w:val="false"/>
          <w:sz w:val="20"/>
        </w:rPr>
        <w:t>ion for the three months ended March 31, 2023. This increase was primarily attributable to an increase in personnel-related costs of $1.2 </w:t>
      </w:r>
      <w:r>
        <w:rPr>
          <w:rFonts w:ascii="Times New Roman" w:hAnsi="Times New Roman"/>
          <w:caps w:val="false"/>
          <w:smallCaps w:val="false"/>
          <w:sz w:val="20"/>
          <w:shd w:fill="FFFFFF" w:val="clear"/>
        </w:rPr>
        <w:t>m</w:t>
      </w:r>
      <w:r>
        <w:rPr>
          <w:rFonts w:ascii="Times New Roman" w:hAnsi="Times New Roman"/>
          <w:caps w:val="false"/>
          <w:smallCaps w:val="false"/>
          <w:sz w:val="20"/>
        </w:rPr>
        <w:t>illion, an increase in professional fees of $2</w:t>
      </w:r>
      <w:r>
        <w:rPr>
          <w:rFonts w:ascii="Times New Roman" w:hAnsi="Times New Roman"/>
          <w:caps w:val="false"/>
          <w:smallCaps w:val="false"/>
          <w:sz w:val="20"/>
          <w:shd w:fill="FFFFFF" w:val="clear"/>
        </w:rPr>
        <w:t>.8 mil</w:t>
      </w:r>
      <w:r>
        <w:rPr>
          <w:rFonts w:ascii="Times New Roman" w:hAnsi="Times New Roman"/>
          <w:caps w:val="false"/>
          <w:smallCaps w:val="false"/>
          <w:sz w:val="20"/>
        </w:rPr>
        <w:t>lion and an increase in other selling, general and administrative costs of $</w:t>
      </w:r>
      <w:r>
        <w:rPr>
          <w:rFonts w:ascii="Times New Roman" w:hAnsi="Times New Roman"/>
          <w:caps w:val="false"/>
          <w:smallCaps w:val="false"/>
          <w:sz w:val="20"/>
          <w:shd w:fill="FFFFFF" w:val="clear"/>
        </w:rPr>
        <w:t>0.1 </w:t>
      </w:r>
      <w:r>
        <w:rPr>
          <w:rFonts w:ascii="Times New Roman" w:hAnsi="Times New Roman"/>
          <w:caps w:val="false"/>
          <w:smallCaps w:val="false"/>
          <w:sz w:val="20"/>
        </w:rPr>
        <w:t>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Other (Expense)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Other (expense) income changed by $1.1 million, from $9,000 of expense for the three months ended March 31, 2022, to $1.1 million of income for the three months ended March 31, 2023. This period-to-period change was primarily attributable to a change in net interest expense and other items of $0.8 million and a change in fair value adjustment related to investments of $0.5 million; partially offset by a change in fair value adjustment related to derivative and warrant liability of $0.2 million.</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Sources of Liquidity</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Through March 31, 2023, we have funded our research and development and operating activities primarily through the issuance of debt, private placements of redeemable convertible preferred stock and the sale of common stock in our initial public offering, at-the-market offering, underwritten public offerings, through our purchase agreements with Lincoln Park Capital LLC, or Lincoln Park, and from revenue received under the Arimoclomol EAP, AZSTARYS License Agreement, the Corium Consulting Agreement and other consulting arrangements. As of March 31, 2023, we had cash, cash equivalents and investments of $95.3</w:t>
      </w:r>
      <w:r>
        <w:rPr>
          <w:rFonts w:ascii="Times New Roman" w:hAnsi="Times New Roman"/>
          <w:caps w:val="false"/>
          <w:smallCaps w:val="false"/>
          <w:sz w:val="20"/>
          <w:shd w:fill="FFFFFF" w:val="clear"/>
        </w:rPr>
        <w:t> m</w:t>
      </w:r>
      <w:r>
        <w:rPr>
          <w:rFonts w:ascii="Times New Roman" w:hAnsi="Times New Roman"/>
          <w:caps w:val="false"/>
          <w:smallCaps w:val="false"/>
          <w:sz w:val="20"/>
        </w:rPr>
        <w:t>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date, we have generated revenue from the Arimoclomol EAP, AZSTARYS License Agreement, reimbursement of out-of-pocket third-party costs, and the performance of consulting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July 2020, we entered into the Corium Consulting Agreement under which Corium and Commave, respectively, engaged us to guide the product development and regulatory activities for certain current and potential future products in their portfolio, as well as continue supporting preparation for the potential commercial launch of AZSTARYS. Under the Corium Consulting Agreement, we are entitled to receive payments from Corium of up to $15.6 million, $13.6 million of which was paid in quarterly installments through March 31, 2022. The remaining $2.0 million was conditioned upon the approval by the FDA of the NDA for Corium's product candidate, ADLARITY. This $2.0 million was earned in the first quarter of 2022. Corium also agreed to be responsible for and reimburse us for all development, commercialization and regulatory expenses incurred as part of the performance of the consulting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had recurring negative net operating cash flows and we anticipate that we may continue to incur negative net cash flows or minimal positive net cash flows from operations for at least the next several years. We expect that our sources of revenue will be through payments arising from our license agreements with Corium, through the Arimoclomol EAP or through potential consulting arrangements and any other future arrangements related to one of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filed a registration statement on Form S-3 covering the sale of the shares of our common stock up to $350.0 million, $75.0 million of which was allocated to the sales of the shares of common stock issuable under the Equity Distribution Agreement. The Form S-3 was declared effective on July 12, 2021. As of March 31, 2023, no shares have been issued or sold under the Equity Distribution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Share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December 20, 2021, we initiated the Share Repurchase Program, pursuant to which we may repurchase up to $50 million of shares of our common stock through December 31, 2023. Capital allocation to the Share Repurchase Program will be based on a variety of factors, including our business results, the receipt of royalties and sales milestones under the AZSTARYS License Agreement, and potentially other sources of non-dilutive capital that may become available to us. Repurchases will be made in compliance with Rule 10b-18 of the Securities Exchange Act of 1934, as amended, subject to a variety of factors, including the market price of our common stock, general market and economic conditions and applicable legal requirements. The exact number of shares to be repurchased by us is not guaranteed and the program may be suspended, modified, or discontinued at any time without prior notice. During the three months ended March 31, 2023, we repurchased 665,739 shares of our common stock for approximately $3.4 million under the Share Repurchase Program, and as of March 31, 2023, we had repurchased an aggregate of</w:t>
      </w:r>
      <w:r>
        <w:rPr>
          <w:rFonts w:ascii="Times New Roman" w:hAnsi="Times New Roman"/>
          <w:caps w:val="false"/>
          <w:smallCaps w:val="false"/>
          <w:sz w:val="20"/>
          <w:shd w:fill="FFFFFF" w:val="clear"/>
        </w:rPr>
        <w:t> 1,575,692 </w:t>
      </w:r>
      <w:r>
        <w:rPr>
          <w:rFonts w:ascii="Times New Roman" w:hAnsi="Times New Roman"/>
          <w:caps w:val="false"/>
          <w:smallCaps w:val="false"/>
          <w:sz w:val="20"/>
        </w:rPr>
        <w:t>shares of our common stock for approximately $11</w:t>
      </w:r>
      <w:r>
        <w:rPr>
          <w:rFonts w:ascii="Times New Roman" w:hAnsi="Times New Roman"/>
          <w:caps w:val="false"/>
          <w:smallCaps w:val="false"/>
          <w:sz w:val="20"/>
          <w:shd w:fill="FFFFFF" w:val="clear"/>
        </w:rPr>
        <w:t>.0 m</w:t>
      </w:r>
      <w:r>
        <w:rPr>
          <w:rFonts w:ascii="Times New Roman" w:hAnsi="Times New Roman"/>
          <w:caps w:val="false"/>
          <w:smallCaps w:val="false"/>
          <w:sz w:val="20"/>
        </w:rPr>
        <w:t>illion under the Share Repurchase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Line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May 31, 2022, we and Ameris Bank, as lender, entered into a $20.0 million revolving loan agreement, or the Line of Credit. Proceeds of the revolving facility provided by the Line of Credit are to be used for general corporate purposes. Loans under the Line of Credit bear interest at the Secured Overnight Financing Rate, or SOFR, plus 1.60%, with a SOFR floor of 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revolving facility under the Line of Credit is secured by a perfected security interest in deposit accounts. The revolving facility under the Line of Credit is subject to customary affirmative and negative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latest maturity date of the loans under the Line of Credit is May 31, 2025. The Line of Credit contains customary events of default that could lead to an acceleration of the loans, including cross-default, bankruptcy and payment defaults. As of December 31, 2022, we had drawn $12.8 million from the Line of Credit to finance the transactions under the Arimoclomol Purchase Agreement, and this amount was supported by a $12.8 million certificate of deposit which was shown as long-term investments - other in the unaudited condensed consolidated balance sheet as of December 31, 2022. The remaining $7.2 million available under the Line of Credit was secured by a separate interest-bearing certificate of deposit and was also recorded as long-term investments - other in the unaudited condensed consolidated balance sheet as of December 31, 2022. These certificates of deposit were pledged as collateral against the Line of Credit and could not be redeemed so long as the $20.0 million remained available under the Line of Credit. The total value of the certificates of deposit held with Ameris Bank must meet or exceed the amount available to borrow under the Line of Credit so long as the Line of Credit remains active. On January 31, 2023, we repaid the $12.8 million outstanding under the Line of Credit in full, and subsequently closed the Line of Credit during the first quarter of 2023.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January 26, 2023, the Company and Wells Fargo, as lender, entered into a margin account agreement under which the Company initially borrowed $12.8 million. The margin account bears interest at the Prime Rate minus 225 basis-points. As of March 31, 2023, $12.9</w:t>
      </w:r>
      <w:r>
        <w:rPr>
          <w:rFonts w:ascii="Times New Roman" w:hAnsi="Times New Roman"/>
          <w:caps w:val="false"/>
          <w:smallCaps w:val="false"/>
          <w:sz w:val="20"/>
          <w:shd w:fill="FFFFFF" w:val="clear"/>
        </w:rPr>
        <w:t> </w:t>
      </w:r>
      <w:r>
        <w:rPr>
          <w:rFonts w:ascii="Times New Roman" w:hAnsi="Times New Roman"/>
          <w:caps w:val="false"/>
          <w:smallCaps w:val="false"/>
          <w:sz w:val="20"/>
        </w:rPr>
        <w:t>million was outstanding under the margin account.</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Cash Flows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summarizes our cash flows for the three months ended March 31, 2023 and 2022 (in thousands):</w:t>
      </w:r>
    </w:p>
    <w:p>
      <w:pPr>
        <w:pStyle w:val="TextBody"/>
        <w:bidi w:val="0"/>
        <w:spacing w:before="0" w:after="0"/>
        <w:ind w:left="0" w:right="0" w:hanging="0"/>
        <w:jc w:val="left"/>
        <w:rPr/>
      </w:pPr>
      <w:r>
        <w:rPr/>
        <w:t> </w:t>
      </w:r>
    </w:p>
    <w:tbl>
      <w:tblPr>
        <w:tblW w:w="7137" w:type="dxa"/>
        <w:jc w:val="left"/>
        <w:tblInd w:w="0" w:type="dxa"/>
        <w:tblLayout w:type="fixed"/>
        <w:tblCellMar>
          <w:top w:w="0" w:type="dxa"/>
          <w:left w:w="0" w:type="dxa"/>
          <w:bottom w:w="0" w:type="dxa"/>
          <w:right w:w="0" w:type="dxa"/>
        </w:tblCellMar>
      </w:tblPr>
      <w:tblGrid>
        <w:gridCol w:w="4355"/>
        <w:gridCol w:w="60"/>
        <w:gridCol w:w="195"/>
        <w:gridCol w:w="1017"/>
        <w:gridCol w:w="125"/>
        <w:gridCol w:w="93"/>
        <w:gridCol w:w="195"/>
        <w:gridCol w:w="1017"/>
        <w:gridCol w:w="80"/>
      </w:tblGrid>
      <w:tr>
        <w:trPr/>
        <w:tc>
          <w:tcPr>
            <w:tcW w:w="43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4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March 31,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121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9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(4,045</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3" w:type="dxa"/>
            <w:tcBorders/>
            <w:shd w:fill="CCEEFF" w:val="clear"/>
            <w:vAlign w:val="center"/>
          </w:tcPr>
          <w:p>
            <w:pPr>
              <w:pStyle w:val="TableContents"/>
              <w:bidi w:val="0"/>
              <w:spacing w:before="0" w:after="283"/>
              <w:ind w:left="0" w:right="0" w:hanging="0"/>
              <w:jc w:val="left"/>
              <w:rPr/>
            </w:pPr>
            <w:r>
              <w:rPr/>
              <w:t> </w:t>
            </w:r>
          </w:p>
        </w:tc>
        <w:tc>
          <w:tcPr>
            <w:tcW w:w="19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(3,553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3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(17,555</w:t>
            </w:r>
          </w:p>
        </w:tc>
        <w:tc>
          <w:tcPr>
            <w:tcW w:w="12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(3,848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3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(3,750</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(4,733</w:t>
            </w:r>
          </w:p>
        </w:tc>
        <w:tc>
          <w:tcPr>
            <w:tcW w:w="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435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Effect of exchange rates on cash and cash equivalents</w:t>
            </w:r>
          </w:p>
        </w:tc>
        <w:tc>
          <w:tcPr>
            <w:tcW w:w="60" w:type="dxa"/>
            <w:tcBorders/>
            <w:shd w:fill="FFFFFF" w:val="clear"/>
            <w:vAlign w:val="center"/>
          </w:tcPr>
          <w:p>
            <w:pPr>
              <w:pStyle w:val="TableContents"/>
              <w:bidi w:val="0"/>
              <w:spacing w:before="0" w:after="0"/>
              <w:ind w:left="0" w:right="0" w:hanging="0"/>
              <w:jc w:val="left"/>
              <w:rPr/>
            </w:pPr>
            <w:r>
              <w:rPr/>
              <w:t> </w:t>
            </w:r>
          </w:p>
        </w:tc>
        <w:tc>
          <w:tcPr>
            <w:tcW w:w="19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1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3" w:type="dxa"/>
            <w:tcBorders/>
            <w:shd w:fill="FFFFFF" w:val="clear"/>
            <w:vAlign w:val="center"/>
          </w:tcPr>
          <w:p>
            <w:pPr>
              <w:pStyle w:val="TableContents"/>
              <w:bidi w:val="0"/>
              <w:spacing w:before="0" w:after="0"/>
              <w:ind w:left="0" w:right="0" w:hanging="0"/>
              <w:jc w:val="left"/>
              <w:rPr/>
            </w:pPr>
            <w:r>
              <w:rPr/>
              <w:t> </w:t>
            </w:r>
          </w:p>
        </w:tc>
        <w:tc>
          <w:tcPr>
            <w:tcW w:w="19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1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43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decrease in 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(25,285</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3" w:type="dxa"/>
            <w:tcBorders/>
            <w:shd w:fill="CCEEFF" w:val="clear"/>
            <w:vAlign w:val="center"/>
          </w:tcPr>
          <w:p>
            <w:pPr>
              <w:pStyle w:val="TableContents"/>
              <w:bidi w:val="0"/>
              <w:spacing w:before="0" w:after="283"/>
              <w:ind w:left="0" w:right="0" w:hanging="0"/>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(12,134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Operating Activities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For the three months ended March 31, 2023, net cash used in operating activities of </w:t>
      </w:r>
      <w:r>
        <w:rPr>
          <w:rFonts w:ascii="Times New Roman" w:hAnsi="Times New Roman"/>
          <w:caps w:val="false"/>
          <w:smallCaps w:val="false"/>
          <w:sz w:val="20"/>
          <w:shd w:fill="FFFFFF" w:val="clear"/>
        </w:rPr>
        <w:t>$4.0 </w:t>
      </w:r>
      <w:r>
        <w:rPr>
          <w:rFonts w:ascii="Times New Roman" w:hAnsi="Times New Roman"/>
          <w:caps w:val="false"/>
          <w:smallCaps w:val="false"/>
          <w:sz w:val="20"/>
        </w:rPr>
        <w:t xml:space="preserve">million consisted of a net loss of </w:t>
      </w:r>
      <w:r>
        <w:rPr>
          <w:rFonts w:ascii="Times New Roman" w:hAnsi="Times New Roman"/>
          <w:caps w:val="false"/>
          <w:smallCaps w:val="false"/>
          <w:sz w:val="20"/>
          <w:shd w:fill="FFFFFF" w:val="clear"/>
        </w:rPr>
        <w:t>$11.8 m</w:t>
      </w:r>
      <w:r>
        <w:rPr>
          <w:rFonts w:ascii="Times New Roman" w:hAnsi="Times New Roman"/>
          <w:caps w:val="false"/>
          <w:smallCaps w:val="false"/>
          <w:sz w:val="20"/>
        </w:rPr>
        <w:t>illion, partially offset by $0.6 million in adjustments for non-cash items and $7.1</w:t>
      </w:r>
      <w:r>
        <w:rPr>
          <w:rFonts w:ascii="Times New Roman" w:hAnsi="Times New Roman"/>
          <w:caps w:val="false"/>
          <w:smallCaps w:val="false"/>
          <w:sz w:val="20"/>
          <w:shd w:fill="FFFFFF" w:val="clear"/>
        </w:rPr>
        <w:t> m</w:t>
      </w:r>
      <w:r>
        <w:rPr>
          <w:rFonts w:ascii="Times New Roman" w:hAnsi="Times New Roman"/>
          <w:caps w:val="false"/>
          <w:smallCaps w:val="false"/>
          <w:sz w:val="20"/>
        </w:rPr>
        <w:t>illion in changes in working capital. Net loss was primarily attributable to our spending on research and development programs and operating costs, partially offset by revenue received under the AZSTARYS License Agreement, Arimoclomol EAP and the Corium Consulting Agreement. The changes in working capital consisted</w:t>
      </w:r>
      <w:r>
        <w:rPr>
          <w:rFonts w:ascii="Times New Roman" w:hAnsi="Times New Roman"/>
          <w:caps w:val="false"/>
          <w:smallCaps w:val="false"/>
          <w:sz w:val="20"/>
          <w:shd w:fill="FFFFFF" w:val="clear"/>
        </w:rPr>
        <w:t xml:space="preserve"> of $0.7 </w:t>
      </w:r>
      <w:r>
        <w:rPr>
          <w:rFonts w:ascii="Times New Roman" w:hAnsi="Times New Roman"/>
          <w:caps w:val="false"/>
          <w:smallCaps w:val="false"/>
          <w:sz w:val="20"/>
        </w:rPr>
        <w:t xml:space="preserve">million related to a change in prepaid expenses and other assets, $0.5 million related to a change in accounts and other receivables, $1.5 million related to a change in discount and rebate liabilities, $3.9 million related to a change in accounts payable and accrued expenses, </w:t>
      </w:r>
      <w:r>
        <w:rPr>
          <w:rFonts w:ascii="Times New Roman" w:hAnsi="Times New Roman"/>
          <w:caps w:val="false"/>
          <w:smallCaps w:val="false"/>
          <w:sz w:val="20"/>
          <w:shd w:fill="FFFFFF" w:val="clear"/>
        </w:rPr>
        <w:t>$0.1 m</w:t>
      </w:r>
      <w:r>
        <w:rPr>
          <w:rFonts w:ascii="Times New Roman" w:hAnsi="Times New Roman"/>
          <w:caps w:val="false"/>
          <w:smallCaps w:val="false"/>
          <w:sz w:val="20"/>
        </w:rPr>
        <w:t>illion related to a change in operating lease right-of-use assets, $0.1 million related to a change in inventories and $0.4 million related to a change in other liabilities, partially offset by </w:t>
      </w:r>
      <w:r>
        <w:rPr>
          <w:rFonts w:ascii="Times New Roman" w:hAnsi="Times New Roman"/>
          <w:caps w:val="false"/>
          <w:smallCaps w:val="false"/>
          <w:sz w:val="20"/>
          <w:shd w:fill="FFFFFF" w:val="clear"/>
        </w:rPr>
        <w:t>$0.1 mi</w:t>
      </w:r>
      <w:r>
        <w:rPr>
          <w:rFonts w:ascii="Times New Roman" w:hAnsi="Times New Roman"/>
          <w:caps w:val="false"/>
          <w:smallCaps w:val="false"/>
          <w:sz w:val="20"/>
        </w:rPr>
        <w:t>llion related to a change in operating lease liabilities. The adjustments for non-cash items primarily consisted of stock-based compensation expense of $0.6 </w:t>
      </w:r>
      <w:r>
        <w:rPr>
          <w:rFonts w:ascii="Times New Roman" w:hAnsi="Times New Roman"/>
          <w:caps w:val="false"/>
          <w:smallCaps w:val="false"/>
          <w:sz w:val="20"/>
          <w:shd w:fill="FFFFFF" w:val="clear"/>
        </w:rPr>
        <w:t>m</w:t>
      </w:r>
      <w:r>
        <w:rPr>
          <w:rFonts w:ascii="Times New Roman" w:hAnsi="Times New Roman"/>
          <w:caps w:val="false"/>
          <w:smallCaps w:val="false"/>
          <w:sz w:val="20"/>
        </w:rPr>
        <w:t>illion, non-cash severance expense of $0.4 million and $0.1 million related to depreciation, amortization and other items, partially offset by a change in the fair value adjustment related to investments o</w:t>
      </w:r>
      <w:r>
        <w:rPr>
          <w:rFonts w:ascii="Times New Roman" w:hAnsi="Times New Roman"/>
          <w:caps w:val="false"/>
          <w:smallCaps w:val="false"/>
          <w:sz w:val="20"/>
          <w:shd w:fill="FFFFFF" w:val="clear"/>
        </w:rPr>
        <w:t>f $0.2 mil</w:t>
      </w:r>
      <w:r>
        <w:rPr>
          <w:rFonts w:ascii="Times New Roman" w:hAnsi="Times New Roman"/>
          <w:caps w:val="false"/>
          <w:smallCaps w:val="false"/>
          <w:sz w:val="20"/>
        </w:rPr>
        <w:t>lion and a gain on foreign currency exchange rates of $0.2 million.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three months ended March 31, 2022, net cash used in operating activities of $3.6 million consisted of a net loss of $1.9 million and $2.8 million in changes in working capital, partially offset by $1.1 million in adjustments for non-cash items. Net loss was primarily attributable to our spending on research and development programs and operating costs, partially offset by revenue received under the AZSTARYS License Agreement and the Corium Consulting Agreement. The changes in working capital consisted of $1.8 million related to a change in accounts and other receivables, $0.5 million related to a change in accounts payable and accrued expenses, $0.1 million related to a change in operating lease liabilities and $0.8 million related to a change in other liabilities, partially offset by $0.3 million related to a change in prepaid expense and other assets and $0.1 million related to a change in operating lease right-of-use assets. The adjustments for non-cash items primarily consisted of stock-based compensation expense of $0.9 million, a change in the fair value adjustment related to investments of $0.4 million and $0.1 million related to depreciation, amortization and other items, partially offset by a change in the fair value adjustment related to derivative and warrant liabilities of $0.2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Investing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three months ended March 31, 2023, net cash used in investing activities wa</w:t>
      </w:r>
      <w:r>
        <w:rPr>
          <w:rFonts w:ascii="Times New Roman" w:hAnsi="Times New Roman"/>
          <w:caps w:val="false"/>
          <w:smallCaps w:val="false"/>
          <w:sz w:val="20"/>
          <w:shd w:fill="FFFFFF" w:val="clear"/>
        </w:rPr>
        <w:t>s $17.6 </w:t>
      </w:r>
      <w:r>
        <w:rPr>
          <w:rFonts w:ascii="Times New Roman" w:hAnsi="Times New Roman"/>
          <w:caps w:val="false"/>
          <w:smallCaps w:val="false"/>
          <w:sz w:val="20"/>
        </w:rPr>
        <w:t>million, which was primarily attributable to purchases of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three months ended March 31, 2022, net cash used in investing activities was $3.8 million, which was primarily attributable to purchases of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Financing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For the three months ended March 31, 2023, net cash used in financing activities was $3.8 million, which was primarily attributable to proceeds from the issuance of debt of </w:t>
      </w:r>
      <w:r>
        <w:rPr>
          <w:rFonts w:ascii="Times New Roman" w:hAnsi="Times New Roman"/>
          <w:caps w:val="false"/>
          <w:smallCaps w:val="false"/>
          <w:sz w:val="20"/>
          <w:shd w:fill="FFFFFF" w:val="clear"/>
        </w:rPr>
        <w:t>$12.9</w:t>
      </w:r>
      <w:r>
        <w:rPr>
          <w:rFonts w:ascii="Times New Roman" w:hAnsi="Times New Roman"/>
          <w:caps w:val="false"/>
          <w:smallCaps w:val="false"/>
          <w:sz w:val="20"/>
        </w:rPr>
        <w:t> million, partially offset by payments of principal on insurance financing arrangements o</w:t>
      </w:r>
      <w:r>
        <w:rPr>
          <w:rFonts w:ascii="Times New Roman" w:hAnsi="Times New Roman"/>
          <w:caps w:val="false"/>
          <w:smallCaps w:val="false"/>
          <w:sz w:val="20"/>
          <w:shd w:fill="FFFFFF" w:val="clear"/>
        </w:rPr>
        <w:t>f $0.4 m</w:t>
      </w:r>
      <w:r>
        <w:rPr>
          <w:rFonts w:ascii="Times New Roman" w:hAnsi="Times New Roman"/>
          <w:caps w:val="false"/>
          <w:smallCaps w:val="false"/>
          <w:sz w:val="20"/>
        </w:rPr>
        <w:t>illion, payments to repurchase shares as part of the Share Repurchase Program of $3.4 million and payments of principal on debt of $12.8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three months ended March 31, 2022, net cash used in financing activities was $4.7 million, which was primarily attributable to payments to repurchase shares as part of the Share Repurchase Program of $4.7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Future Funding Requirements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our current operating forecast, we believe that our existing cash, cash equivalents and investments will be sufficient to fund our operations into 2026. This estimate does not include our projected revenue, a portion of which is based on royalties from commercial sales and upon the achievement of milestones in the AZSTARYS License Agreement and the APADAZ License Agreement. Certain of the milestones are associated with regulatory matters that are outside our control. In addition, we maintain the majority of our cash and cash equivalents in accounts with major U.S. and multi-national financial institutions, and our deposits at these institutions exceed insured limits. Market conditions can impact the viability of these institutions. In the event of a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Potential near-term sources of additional funding include:</w:t>
      </w:r>
    </w:p>
    <w:p>
      <w:pPr>
        <w:pStyle w:val="TextBody"/>
        <w:bidi w:val="0"/>
        <w:spacing w:before="0" w:after="0"/>
        <w:ind w:left="0" w:right="0" w:hanging="0"/>
        <w:jc w:val="left"/>
        <w:rPr>
          <w:caps w:val="false"/>
          <w:smallCaps w:val="false"/>
        </w:rPr>
      </w:pPr>
      <w:r>
        <w:rPr>
          <w:caps w:val="false"/>
          <w:smallCaps w:val="false"/>
        </w:rPr>
        <w:t> </w:t>
      </w:r>
    </w:p>
    <w:tbl>
      <w:tblPr>
        <w:tblW w:w="9940" w:type="dxa"/>
        <w:jc w:val="left"/>
        <w:tblInd w:w="0" w:type="dxa"/>
        <w:tblLayout w:type="fixed"/>
        <w:tblCellMar>
          <w:top w:w="0" w:type="dxa"/>
          <w:left w:w="0" w:type="dxa"/>
          <w:bottom w:w="0" w:type="dxa"/>
          <w:right w:w="0" w:type="dxa"/>
        </w:tblCellMar>
      </w:tblPr>
      <w:tblGrid>
        <w:gridCol w:w="60"/>
        <w:gridCol w:w="170"/>
        <w:gridCol w:w="97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revenues generated under either the AZSTARYS License Agreement or the APADAZ License Agreement;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1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consulting services revenue or short-term milestone payments generated under the AZSTARYS License Agreement;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1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10" w:type="dxa"/>
            <w:tcBorders/>
            <w:vAlign w:val="center"/>
          </w:tcPr>
          <w:p>
            <w:pPr>
              <w:pStyle w:val="TableContents"/>
              <w:bidi w:val="0"/>
              <w:spacing w:before="0" w:after="283"/>
              <w:jc w:val="left"/>
              <w:rPr/>
            </w:pPr>
            <w:r>
              <w:rPr/>
              <w:t>any product sales under the Arimoclomol EAP;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1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consulting services revenue generated under other potential consulting arrangements.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cannot guarantee that we will be able to generate sufficient proceeds from any of these potential sources to fund our operating expenses. We anticipate that our expenses will fluctuate substantially as we: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continue our ongoing preclinical studies, clinical trials and our product development activities for our pipeline of product candidates;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seek regulatory approvals for any product candidates that successfully complete clinical trials;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continue research and preclinical development and initiate clinical trials of our product candidates;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seek to discover and develop additional product candidates either internally or in partnership with other pharmaceutical companies;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adapt our regulatory compliance efforts to incorporate requirements applicable to marketed products;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maintain, expand and protect our intellectual property portfolio;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incur additional legal, accounting and other expenses in operating as a public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date, we have generated revenue from the AZSTARYS License Agreement, reimbursements of out-of-pocket third-party costs, the performance of consulting services and product sales under the Arimoclomol EAP. We expect that, for the foreseeable future, our only sources of revenues will be through payments arising from the AZSTARYS License Agreement, the APADAZ License Agreement, through potential consulting arrangements and any other future arrangements related to one of our product candidates and product sales under the Arimoclomol EAP. While we have entered into the APADAZ License Agreement to commercialize APADAZ in the United States, and entered into the AZSTARYS License Agreement to develop, manufacture and commercialize AZSTARYS, we cannot guarantee that this, or any strategy we adopt in the future, will be successful. For instance, we received milestone payments under the AZSTARYS License Agreement, but we cannot guarantee that we will earn any additional milestone or royalty payments under this agreement in the future. We also cannot guarantee that we will continue to generate revenue under the Arimoclomol EAP. We also expect to continue to incur additional costs associated with operating as a public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COVID-19 pandemic has caused major disruptions to businesses and markets worldwide. We cannot predict what the long-term effects of this pandemic or future public health crises and the resulting economic disruptions may have on our liquidity and results of operations. The extent of the effect of the COVID-19 pandemic on our liquidity and results of operations will depend on a number of future developments, including the duration, spread and intensity of the pandemic, and governmental, regulatory and private sector responses, all of which are uncertain and difficult to predict. A future public health crisis may make it more difficult for us to enroll patients in any future clinical trials or cause delays in the regulatory approval of our product candidates. A portion of our projected revenue is based upon the achievement of milestones in the AZSTARYS License Agreement associated with regulatory matters that may be impacted by the COVID-19 pandemic. As a result, we cannot predict what, if any, impact that the COVID-19 pandemic or a future public health crisis may have on our ability to achieve these milestones. The economic uncertainty surrounding the COVID-19 pandemic and as a result of rising inflation and interest rates may also dramatically reduce our ability to secure debt or equity financing necessary to support our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based our estimates of our cash needs and cash runway on assumptions that may prove to be wrong, and we may use our available capital resources sooner than we currently expect and we cannot guarantee that we will be able to generate sufficient proceeds from the AZSTARYS License Agreement, the APADAZ License Agreement, product reimbursements under the Arimoclomol EAP and potential consulting arrangements or other funding transactions to fund our operating expenses. To meet any additional cash requirements, we may seek to sell additional equity or convertible securities that may result in dilution to our stockholders, issue additional debt or seek other third-party funding, including potential strategic transactions, such as licensing or collaboration arrangements. Because of the numerous risks and uncertainties associated with the development and commercialization of product candidates and products, we are unable to estimate the amounts of increased capital outlays and operating expenditures necessary to complete the commercialization and development of our partnered product or product candidates, should they obtain regulatory approval.</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This management’s discussion and analysis of our financial condition and results of operations is based on our unaudited condensed consolidated financial statements, which we have prepared in accordance with accounting principles generally accepted in the United States. The preparation of our unaudited condensed consolidated financial statements requires us to make estimates that affect the reported amounts of assets and liabilities and the disclosure of contingent assets and liabilities at the date of our unaudited condensed consolidated financial statements, as well as the reported revenues and expenses during the reported periods. We evaluate these estimates on an ongoing basis. We base our estimates on historical experience and on various other factors that we believe are reasonable under the circumstances. Actual results may differ from these estimates under different assumptions or conditions.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critical accounting policies have not changed materially from those described in </w:t>
      </w:r>
      <w:r>
        <w:rPr>
          <w:rFonts w:ascii="Times New Roman;Times;serif" w:hAnsi="Times New Roman;Times;serif"/>
          <w:i/>
          <w:sz w:val="20"/>
        </w:rPr>
        <w:t>Item 7 - Management's Discussion and Analysis of Financial Condition and Results of Operations</w:t>
      </w:r>
      <w:r>
        <w:rPr>
          <w:rFonts w:ascii="Times New Roman;Times;serif" w:hAnsi="Times New Roman;Times;serif"/>
          <w:sz w:val="20"/>
        </w:rPr>
        <w:t> of our Annual Report on Form 10-K for the fiscal year ended December 31, 2022, filed with the SEC on March 7, 2023.</w:t>
      </w:r>
    </w:p>
    <w:p>
      <w:pPr>
        <w:pStyle w:val="TextBody"/>
        <w:bidi w:val="0"/>
        <w:spacing w:before="0" w:after="0"/>
        <w:ind w:left="1101" w:right="0" w:hanging="1109"/>
        <w:jc w:val="left"/>
        <w:rPr/>
      </w:pPr>
      <w:r>
        <w:rPr/>
        <w:t> </w:t>
      </w:r>
    </w:p>
    <w:tbl>
      <w:tblPr>
        <w:tblW w:w="7705" w:type="dxa"/>
        <w:jc w:val="left"/>
        <w:tblInd w:w="0" w:type="dxa"/>
        <w:tblLayout w:type="fixed"/>
        <w:tblCellMar>
          <w:top w:w="0" w:type="dxa"/>
          <w:left w:w="0" w:type="dxa"/>
          <w:bottom w:w="0" w:type="dxa"/>
          <w:right w:w="0" w:type="dxa"/>
        </w:tblCellMar>
      </w:tblPr>
      <w:tblGrid>
        <w:gridCol w:w="740"/>
        <w:gridCol w:w="6965"/>
      </w:tblGrid>
      <w:tr>
        <w:trPr/>
        <w:tc>
          <w:tcPr>
            <w:tcW w:w="740" w:type="dxa"/>
            <w:tcBorders/>
            <w:vAlign w:val="center"/>
          </w:tcPr>
          <w:p>
            <w:pPr>
              <w:pStyle w:val="TableContents"/>
              <w:bidi w:val="0"/>
              <w:spacing w:before="0" w:after="0"/>
              <w:ind w:left="0" w:right="0" w:hanging="0"/>
              <w:jc w:val="both"/>
              <w:rPr>
                <w:rFonts w:ascii="Times New Roman;Times;serif" w:hAnsi="Times New Roman;Times;serif"/>
                <w:b/>
                <w:caps/>
                <w:sz w:val="20"/>
              </w:rPr>
            </w:pPr>
            <w:bookmarkStart w:id="10" w:name="item3"/>
            <w:bookmarkEnd w:id="10"/>
            <w:r>
              <w:rPr>
                <w:rFonts w:ascii="Times New Roman;Times;serif" w:hAnsi="Times New Roman;Times;serif"/>
                <w:b/>
                <w:caps/>
                <w:sz w:val="20"/>
              </w:rPr>
              <w:t>Item 3.</w:t>
            </w:r>
          </w:p>
        </w:tc>
        <w:tc>
          <w:tcPr>
            <w:tcW w:w="6965" w:type="dxa"/>
            <w:tcBorders/>
            <w:vAlign w:val="center"/>
          </w:tcPr>
          <w:p>
            <w:pPr>
              <w:pStyle w:val="TableContents"/>
              <w:bidi w:val="0"/>
              <w:spacing w:before="0" w:after="0"/>
              <w:ind w:left="0" w:right="0" w:hanging="0"/>
              <w:jc w:val="both"/>
              <w:rPr>
                <w:rFonts w:ascii="Times New Roman;Times;serif" w:hAnsi="Times New Roman;Times;serif"/>
                <w:b/>
                <w:caps/>
                <w:sz w:val="20"/>
              </w:rPr>
            </w:pPr>
            <w:r>
              <w:rPr>
                <w:rFonts w:ascii="Times New Roman;Times;serif" w:hAnsi="Times New Roman;Times;serif"/>
                <w:b/>
                <w:caps/>
                <w:sz w:val="20"/>
              </w:rPr>
              <w:t>Quantitative and Qualitative Disclosures About Market Risk</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 </w:t>
      </w:r>
    </w:p>
    <w:tbl>
      <w:tblPr>
        <w:tblW w:w="3655" w:type="dxa"/>
        <w:jc w:val="left"/>
        <w:tblInd w:w="0" w:type="dxa"/>
        <w:tblLayout w:type="fixed"/>
        <w:tblCellMar>
          <w:top w:w="0" w:type="dxa"/>
          <w:left w:w="0" w:type="dxa"/>
          <w:bottom w:w="0" w:type="dxa"/>
          <w:right w:w="0" w:type="dxa"/>
        </w:tblCellMar>
      </w:tblPr>
      <w:tblGrid>
        <w:gridCol w:w="740"/>
        <w:gridCol w:w="2915"/>
      </w:tblGrid>
      <w:tr>
        <w:trPr/>
        <w:tc>
          <w:tcPr>
            <w:tcW w:w="740" w:type="dxa"/>
            <w:tcBorders/>
            <w:vAlign w:val="center"/>
          </w:tcPr>
          <w:p>
            <w:pPr>
              <w:pStyle w:val="TableContents"/>
              <w:bidi w:val="0"/>
              <w:spacing w:before="0" w:after="0"/>
              <w:ind w:left="0" w:right="0" w:hanging="0"/>
              <w:jc w:val="both"/>
              <w:rPr>
                <w:rFonts w:ascii="Times New Roman;Times;serif" w:hAnsi="Times New Roman;Times;serif"/>
                <w:b/>
                <w:caps/>
                <w:sz w:val="20"/>
              </w:rPr>
            </w:pPr>
            <w:bookmarkStart w:id="11" w:name="item4"/>
            <w:bookmarkEnd w:id="11"/>
            <w:r>
              <w:rPr>
                <w:rFonts w:ascii="Times New Roman;Times;serif" w:hAnsi="Times New Roman;Times;serif"/>
                <w:b/>
                <w:caps/>
                <w:sz w:val="20"/>
              </w:rPr>
              <w:t>Item 4.</w:t>
            </w:r>
          </w:p>
        </w:tc>
        <w:tc>
          <w:tcPr>
            <w:tcW w:w="2915" w:type="dxa"/>
            <w:tcBorders/>
            <w:vAlign w:val="center"/>
          </w:tcPr>
          <w:p>
            <w:pPr>
              <w:pStyle w:val="TableContents"/>
              <w:bidi w:val="0"/>
              <w:spacing w:before="0" w:after="0"/>
              <w:ind w:left="0" w:right="0" w:hanging="0"/>
              <w:jc w:val="both"/>
              <w:rPr>
                <w:rFonts w:ascii="Times New Roman;Times;serif" w:hAnsi="Times New Roman;Times;serif"/>
                <w:b/>
                <w:caps/>
                <w:sz w:val="20"/>
              </w:rPr>
            </w:pPr>
            <w:r>
              <w:rPr>
                <w:rFonts w:ascii="Times New Roman;Times;serif" w:hAnsi="Times New Roman;Times;serif"/>
                <w:b/>
                <w:caps/>
                <w:sz w:val="20"/>
              </w:rPr>
              <w:t>Controls and Procedures</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Limitations on Effectiveness of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management, with the participation of our chief executive officer and our chief financial officer, evaluated the effectiveness of our disclosure controls and procedures as of March 31, 2023. Based on the evaluation of our disclosure controls and procedures as of March 31, 2023, our chief executive officer and our chief financial officer concluded that, as of such date, our disclosure controls and procedures were effective at the reasonable assurance level.</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was no change in our internal control over financial reporting identified in connection with the evaluation required by Rules 13a-15(d) and 15d-15(d) of the Exchange Act that occurred during our fiscal quarter ended March 31, 2023, that materially affected, or is reasonably likely to materially affect, our internal control over financial reporting.</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bookmarkStart w:id="12" w:name="part2"/>
      <w:bookmarkEnd w:id="12"/>
      <w:r>
        <w:rPr>
          <w:rFonts w:ascii="Times New Roman;Times;serif" w:hAnsi="Times New Roman;Times;serif"/>
          <w:b/>
          <w:sz w:val="20"/>
        </w:rPr>
        <w:t>PART II</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OTHER INFORMATION</w:t>
      </w:r>
    </w:p>
    <w:p>
      <w:pPr>
        <w:pStyle w:val="TextBody"/>
        <w:bidi w:val="0"/>
        <w:spacing w:before="0" w:after="0"/>
        <w:ind w:left="0" w:right="0" w:hanging="0"/>
        <w:jc w:val="left"/>
        <w:rPr/>
      </w:pPr>
      <w:r>
        <w:rPr/>
        <w:t> </w:t>
      </w:r>
    </w:p>
    <w:tbl>
      <w:tblPr>
        <w:tblW w:w="2905" w:type="dxa"/>
        <w:jc w:val="left"/>
        <w:tblInd w:w="0" w:type="dxa"/>
        <w:tblLayout w:type="fixed"/>
        <w:tblCellMar>
          <w:top w:w="0" w:type="dxa"/>
          <w:left w:w="0" w:type="dxa"/>
          <w:bottom w:w="0" w:type="dxa"/>
          <w:right w:w="0" w:type="dxa"/>
        </w:tblCellMar>
      </w:tblPr>
      <w:tblGrid>
        <w:gridCol w:w="740"/>
        <w:gridCol w:w="2165"/>
      </w:tblGrid>
      <w:tr>
        <w:trPr/>
        <w:tc>
          <w:tcPr>
            <w:tcW w:w="740" w:type="dxa"/>
            <w:tcBorders/>
            <w:vAlign w:val="center"/>
          </w:tcPr>
          <w:p>
            <w:pPr>
              <w:pStyle w:val="TableContents"/>
              <w:bidi w:val="0"/>
              <w:spacing w:before="0" w:after="0"/>
              <w:ind w:left="0" w:right="0" w:hanging="0"/>
              <w:jc w:val="both"/>
              <w:rPr>
                <w:rFonts w:ascii="Times New Roman;Times;serif" w:hAnsi="Times New Roman;Times;serif"/>
                <w:b/>
                <w:caps/>
                <w:sz w:val="20"/>
              </w:rPr>
            </w:pPr>
            <w:bookmarkStart w:id="13" w:name="legal"/>
            <w:bookmarkEnd w:id="13"/>
            <w:r>
              <w:rPr>
                <w:rFonts w:ascii="Times New Roman;Times;serif" w:hAnsi="Times New Roman;Times;serif"/>
                <w:b/>
                <w:caps/>
                <w:sz w:val="20"/>
              </w:rPr>
              <w:t>Item 1.</w:t>
            </w:r>
          </w:p>
        </w:tc>
        <w:tc>
          <w:tcPr>
            <w:tcW w:w="2165" w:type="dxa"/>
            <w:tcBorders/>
            <w:vAlign w:val="center"/>
          </w:tcPr>
          <w:p>
            <w:pPr>
              <w:pStyle w:val="TableContents"/>
              <w:bidi w:val="0"/>
              <w:spacing w:before="0" w:after="0"/>
              <w:ind w:left="0" w:right="0" w:hanging="0"/>
              <w:jc w:val="both"/>
              <w:rPr>
                <w:rFonts w:ascii="Times New Roman;Times;serif" w:hAnsi="Times New Roman;Times;serif"/>
                <w:b/>
                <w:caps/>
                <w:sz w:val="20"/>
              </w:rPr>
            </w:pPr>
            <w:r>
              <w:rPr>
                <w:rFonts w:ascii="Times New Roman;Times;serif" w:hAnsi="Times New Roman;Times;serif"/>
                <w:b/>
                <w:caps/>
                <w:sz w:val="20"/>
              </w:rPr>
              <w:t>Legal Proceedings</w:t>
            </w:r>
          </w:p>
        </w:tc>
      </w:tr>
    </w:tbl>
    <w:p>
      <w:pPr>
        <w:pStyle w:val="TextBody"/>
        <w:shd w:fill="FFFFFF" w:val="clear"/>
        <w:bidi w:val="0"/>
        <w:spacing w:before="0" w:after="0"/>
        <w:ind w:left="0" w:right="0" w:hanging="0"/>
        <w:jc w:val="left"/>
        <w:rPr>
          <w:color w:val="000000"/>
        </w:rPr>
      </w:pPr>
      <w:r>
        <w:rPr>
          <w:color w:val="000000"/>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From time to time, we may be involved in routine legal proceedings, as well as demands, claims and threatened litigation, which arise in the normal course of our business. We believe there is no litigation pending that would reasonably be expected to, individually or in the aggregate, have a material adverse effect on our results of operations or financial condition.</w:t>
      </w:r>
    </w:p>
    <w:p>
      <w:pPr>
        <w:pStyle w:val="TextBody"/>
        <w:bidi w:val="0"/>
        <w:spacing w:before="0" w:after="0"/>
        <w:ind w:left="0" w:right="0" w:hanging="0"/>
        <w:jc w:val="both"/>
        <w:rPr/>
      </w:pPr>
      <w:r>
        <w:rPr/>
        <w:t> </w:t>
      </w:r>
    </w:p>
    <w:tbl>
      <w:tblPr>
        <w:tblW w:w="2320" w:type="dxa"/>
        <w:jc w:val="left"/>
        <w:tblInd w:w="0" w:type="dxa"/>
        <w:tblLayout w:type="fixed"/>
        <w:tblCellMar>
          <w:top w:w="0" w:type="dxa"/>
          <w:left w:w="0" w:type="dxa"/>
          <w:bottom w:w="0" w:type="dxa"/>
          <w:right w:w="0" w:type="dxa"/>
        </w:tblCellMar>
      </w:tblPr>
      <w:tblGrid>
        <w:gridCol w:w="875"/>
        <w:gridCol w:w="1445"/>
      </w:tblGrid>
      <w:tr>
        <w:trPr/>
        <w:tc>
          <w:tcPr>
            <w:tcW w:w="875" w:type="dxa"/>
            <w:tcBorders/>
            <w:vAlign w:val="center"/>
          </w:tcPr>
          <w:p>
            <w:pPr>
              <w:pStyle w:val="TableContents"/>
              <w:bidi w:val="0"/>
              <w:spacing w:before="0" w:after="0"/>
              <w:ind w:left="0" w:right="0" w:hanging="0"/>
              <w:jc w:val="both"/>
              <w:rPr>
                <w:rFonts w:ascii="Times New Roman;Times;serif" w:hAnsi="Times New Roman;Times;serif"/>
                <w:b/>
                <w:caps/>
                <w:sz w:val="20"/>
              </w:rPr>
            </w:pPr>
            <w:bookmarkStart w:id="14" w:name="risk"/>
            <w:bookmarkEnd w:id="14"/>
            <w:r>
              <w:rPr>
                <w:rFonts w:ascii="Times New Roman;Times;serif" w:hAnsi="Times New Roman;Times;serif"/>
                <w:b/>
                <w:caps/>
                <w:sz w:val="20"/>
              </w:rPr>
              <w:t>Item 1A.</w:t>
            </w:r>
          </w:p>
        </w:tc>
        <w:tc>
          <w:tcPr>
            <w:tcW w:w="1445" w:type="dxa"/>
            <w:tcBorders/>
            <w:vAlign w:val="center"/>
          </w:tcPr>
          <w:p>
            <w:pPr>
              <w:pStyle w:val="TableContents"/>
              <w:bidi w:val="0"/>
              <w:spacing w:before="0" w:after="0"/>
              <w:ind w:left="0" w:right="0" w:hanging="0"/>
              <w:jc w:val="both"/>
              <w:rPr>
                <w:rFonts w:ascii="Times New Roman;Times;serif" w:hAnsi="Times New Roman;Times;serif"/>
                <w:b/>
                <w:caps/>
                <w:sz w:val="20"/>
              </w:rPr>
            </w:pPr>
            <w:r>
              <w:rPr>
                <w:rFonts w:ascii="Times New Roman;Times;serif" w:hAnsi="Times New Roman;Times;serif"/>
                <w:b/>
                <w:caps/>
                <w:sz w:val="20"/>
              </w:rPr>
              <w:t>Risk Factors</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to the other information set forth in this Quarterly Report on Form 10-Q, you should carefully consider all the risk factors and uncertainties described in Part I, Item 1A. “Risk Factors” of our Annual Report on Form 10-K for the fiscal year ended December 31, 2022, filed with the SEC on March 7, 2023, before investing in our common stock. Except as discussed below, there have been no material changes to the risk factors described in that report. If any of those risks materialize, our business, financial condition and results of operations could be seriously harmed. This Quarterly Report on Form 10-Q also contains forward-looking statements that involve risks and uncertainties. Our actual results could differ materially from those anticipated in the forward-looking statements because of those risk factors and the other factors described in in this Quarterly Report on Form 10-Q.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Our future success depends on our ability to retain key executives and to attract, retain and motivate qualified personnel</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highly dependent on the management, research and development, clinical, financial and business development expertise of our senior leadership team, as well as the other members of our scientific and clinical teams. Although we have employment agreements with each of our executive officers, these agreements do not obligate them to continue working for our company and they may terminate their employment with us at any time. Among other recent changes in our senior management team, our Chief Executive Officer has resigned effective as of June 1, 2023. Our future performance will depend, in part, on a successful transition period with our new Chief Executive Officer, including any interim Chief Executive Officer, the successful integration of these and any other new senior level executives into their roles, and the continuity of leadership among the larger workforce. If we do not successfully manage these transitions, it could be viewed negatively by our customers, employees, investors, and other third-party partners, and could have an adverse impact on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Recruiting and retaining qualified scientific and clinical personnel and, if we progress the development of our product candidate pipeline toward scaling up for commercialization,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our prodrug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 quality personnel, our ability to pursue our growth strategy will be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could be negatively affected as a result of the actions of activist stockholders, which could be disruptive and costly and may conflict with or disrupt the strategic direction of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January 2023, our board of directors received notice from a stockholder of his intention to nominate three nominees to stand for election to our board of directors at our 2023 annual meeting of stockholder and to submit a proposal at the annual meeting, which resulted in a contested election at the annual meeting at which such nominees were elected by our stockholders. Similar to the activist stockholder activities initiated in January 2023, activist stockholders may from time to time attempt to effect changes in our strategic direction and seek changes regarding our corporate governance or structure. Our board of directors and management team strive to maintain constructive, ongoing communications with all stockholders who wish to speak with us, including activist stockholders, and welcome their views and opinions with the goal of working together constructively to enhance value for all stockholders. Any future proxy contest with respect to election of our directors, or other activist stockholder activities, could adversely affect our business because: (1) responding to a proxy contest and other actions by activist stockholders can be costly and time-consuming, disruptive to our operations and divert the attention of management and our employees; (2) actual or perceived uncertainties as to our future direction caused by activist activities may cause or appear to cause instability or lack of continuity, resulting in the loss of potential business opportunities, and potentially making it more difficult to attract and retain qualified personnel and business partners; and (3) if individuals are elected to our board of directors with a specific agenda, it may adversely affect our ability to effectively and timely implement our strategic plans. Activist stockholder activities may also cause significant fluctuations in our stock price based on temporary or speculative market perceptions, or other factors that do not necessarily reflect the fundamental underlying value of our business.</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Concentration of Credit Risk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Financial instruments that potentially subject the Company to a concentration of credit risk consist primarily of cash, cash equivalents, and investments. The Company invests in money market funds, U.S. treasury securities, and U.S. government agency securities. The Company maintains bank deposits in federally insured financial institutions and these deposits may exceed federally insured limits. The Company is exposed to credit risk in the event of a default by the financial institutions holding its cash and cash equivalents to the extent recorded on the unaudited condensed consolidated balance sheets. The Company has not experienced any material losses on its deposits of cash, cash equivalents, and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7585" w:type="dxa"/>
        <w:jc w:val="left"/>
        <w:tblInd w:w="0" w:type="dxa"/>
        <w:tblLayout w:type="fixed"/>
        <w:tblCellMar>
          <w:top w:w="0" w:type="dxa"/>
          <w:left w:w="0" w:type="dxa"/>
          <w:bottom w:w="0" w:type="dxa"/>
          <w:right w:w="0" w:type="dxa"/>
        </w:tblCellMar>
      </w:tblPr>
      <w:tblGrid>
        <w:gridCol w:w="740"/>
        <w:gridCol w:w="6845"/>
      </w:tblGrid>
      <w:tr>
        <w:trPr/>
        <w:tc>
          <w:tcPr>
            <w:tcW w:w="740" w:type="dxa"/>
            <w:tcBorders/>
            <w:vAlign w:val="center"/>
          </w:tcPr>
          <w:p>
            <w:pPr>
              <w:pStyle w:val="TableContents"/>
              <w:bidi w:val="0"/>
              <w:spacing w:before="0" w:after="0"/>
              <w:ind w:left="0" w:right="0" w:hanging="0"/>
              <w:jc w:val="both"/>
              <w:rPr>
                <w:rFonts w:ascii="Times New Roman;Times;serif" w:hAnsi="Times New Roman;Times;serif"/>
                <w:b/>
                <w:caps/>
                <w:sz w:val="20"/>
              </w:rPr>
            </w:pPr>
            <w:bookmarkStart w:id="15" w:name="unregsales"/>
            <w:bookmarkEnd w:id="15"/>
            <w:r>
              <w:rPr>
                <w:rFonts w:ascii="Times New Roman;Times;serif" w:hAnsi="Times New Roman;Times;serif"/>
                <w:b/>
                <w:caps/>
                <w:sz w:val="20"/>
              </w:rPr>
              <w:t>Item 2.</w:t>
            </w:r>
          </w:p>
        </w:tc>
        <w:tc>
          <w:tcPr>
            <w:tcW w:w="6845" w:type="dxa"/>
            <w:tcBorders/>
            <w:vAlign w:val="center"/>
          </w:tcPr>
          <w:p>
            <w:pPr>
              <w:pStyle w:val="TableContents"/>
              <w:bidi w:val="0"/>
              <w:spacing w:before="0" w:after="0"/>
              <w:ind w:left="0" w:right="0" w:hanging="0"/>
              <w:jc w:val="both"/>
              <w:rPr>
                <w:rFonts w:ascii="Times New Roman;Times;serif" w:hAnsi="Times New Roman;Times;serif"/>
                <w:b/>
                <w:caps/>
                <w:sz w:val="20"/>
              </w:rPr>
            </w:pPr>
            <w:r>
              <w:rPr>
                <w:rFonts w:ascii="Times New Roman;Times;serif" w:hAnsi="Times New Roman;Times;serif"/>
                <w:b/>
                <w:caps/>
                <w:sz w:val="20"/>
              </w:rPr>
              <w:t>Unregistered Sales of Equity Securities and Use of Proceeds</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Recent Sales of Unregistered Securities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Purchases of Equity Securities By the Issuer and Affiliated Purchasers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Issuer Purchases of Equity Securities</w:t>
      </w:r>
    </w:p>
    <w:p>
      <w:pPr>
        <w:pStyle w:val="TextBody"/>
        <w:bidi w:val="0"/>
        <w:spacing w:before="0" w:after="0"/>
        <w:ind w:left="0" w:right="0" w:hanging="0"/>
        <w:jc w:val="both"/>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642"/>
        <w:gridCol w:w="60"/>
        <w:gridCol w:w="75"/>
        <w:gridCol w:w="1008"/>
        <w:gridCol w:w="60"/>
        <w:gridCol w:w="60"/>
        <w:gridCol w:w="197"/>
        <w:gridCol w:w="699"/>
        <w:gridCol w:w="60"/>
        <w:gridCol w:w="60"/>
        <w:gridCol w:w="167"/>
        <w:gridCol w:w="2733"/>
        <w:gridCol w:w="60"/>
        <w:gridCol w:w="60"/>
        <w:gridCol w:w="326"/>
        <w:gridCol w:w="2875"/>
        <w:gridCol w:w="63"/>
      </w:tblGrid>
      <w:tr>
        <w:trPr/>
        <w:tc>
          <w:tcPr>
            <w:tcW w:w="1642"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Period</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083"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Total Number 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 Purchased</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96"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Average Price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Paid per Share</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90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Number of Shares Purchased as Part of Publicly Announced Plans or Programs(1)</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3201"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Maximum Number (or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Approximate Dollar Value) of Shares that May Yet Be Purchased Under the Plans or Programs</w:t>
            </w:r>
          </w:p>
        </w:tc>
        <w:tc>
          <w:tcPr>
            <w:tcW w:w="63" w:type="dxa"/>
            <w:tcBorders>
              <w:bottom w:val="single" w:sz="2" w:space="0" w:color="000000"/>
            </w:tcBorders>
            <w:vAlign w:val="center"/>
          </w:tcPr>
          <w:p>
            <w:pPr>
              <w:pStyle w:val="TableContents"/>
              <w:bidi w:val="0"/>
              <w:spacing w:before="0" w:after="283"/>
              <w:jc w:val="left"/>
              <w:rPr/>
            </w:pPr>
            <w:r>
              <w:rPr/>
              <w:t> </w:t>
            </w:r>
          </w:p>
        </w:tc>
      </w:tr>
      <w:tr>
        <w:trPr/>
        <w:tc>
          <w:tcPr>
            <w:tcW w:w="164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January 1, 2023, through January 31,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9"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2733"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8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42,500,000</w:t>
            </w:r>
          </w:p>
        </w:tc>
        <w:tc>
          <w:tcPr>
            <w:tcW w:w="63" w:type="dxa"/>
            <w:tcBorders/>
            <w:shd w:fill="CCEEFF" w:val="clear"/>
            <w:tcMar>
              <w:bottom w:w="0" w:type="dxa"/>
            </w:tcMar>
            <w:vAlign w:val="center"/>
          </w:tcPr>
          <w:p>
            <w:pPr>
              <w:pStyle w:val="TableContents"/>
              <w:bidi w:val="0"/>
              <w:spacing w:before="0" w:after="283"/>
              <w:jc w:val="left"/>
              <w:rPr/>
            </w:pPr>
            <w:r>
              <w:rPr/>
              <w:t> </w:t>
            </w:r>
          </w:p>
        </w:tc>
      </w:tr>
      <w:tr>
        <w:trPr/>
        <w:tc>
          <w:tcPr>
            <w:tcW w:w="164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February 1, 2023, through February 28,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7" w:type="dxa"/>
            <w:tcBorders/>
            <w:shd w:fill="FFFFFF" w:val="clear"/>
            <w:tcMar>
              <w:bottom w:w="0" w:type="dxa"/>
            </w:tcMar>
            <w:vAlign w:val="center"/>
          </w:tcPr>
          <w:p>
            <w:pPr>
              <w:pStyle w:val="TableContents"/>
              <w:bidi w:val="0"/>
              <w:spacing w:before="0" w:after="283"/>
              <w:jc w:val="left"/>
              <w:rPr/>
            </w:pPr>
            <w:r>
              <w:rPr/>
              <w:t> </w:t>
            </w:r>
          </w:p>
        </w:tc>
        <w:tc>
          <w:tcPr>
            <w:tcW w:w="699"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2733"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6" w:type="dxa"/>
            <w:tcBorders/>
            <w:shd w:fill="FFFFFF" w:val="clear"/>
            <w:tcMar>
              <w:bottom w:w="0" w:type="dxa"/>
            </w:tcMar>
            <w:vAlign w:val="center"/>
          </w:tcPr>
          <w:p>
            <w:pPr>
              <w:pStyle w:val="TableContents"/>
              <w:bidi w:val="0"/>
              <w:spacing w:before="0" w:after="283"/>
              <w:jc w:val="left"/>
              <w:rPr/>
            </w:pPr>
            <w:r>
              <w:rPr/>
              <w:t> </w:t>
            </w:r>
          </w:p>
        </w:tc>
        <w:tc>
          <w:tcPr>
            <w:tcW w:w="28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42,500,000</w:t>
            </w:r>
          </w:p>
        </w:tc>
        <w:tc>
          <w:tcPr>
            <w:tcW w:w="63" w:type="dxa"/>
            <w:tcBorders/>
            <w:shd w:fill="FFFFFF" w:val="clear"/>
            <w:tcMar>
              <w:bottom w:w="0" w:type="dxa"/>
            </w:tcMar>
            <w:vAlign w:val="center"/>
          </w:tcPr>
          <w:p>
            <w:pPr>
              <w:pStyle w:val="TableContents"/>
              <w:bidi w:val="0"/>
              <w:spacing w:before="0" w:after="283"/>
              <w:jc w:val="left"/>
              <w:rPr/>
            </w:pPr>
            <w:r>
              <w:rPr/>
              <w:t> </w:t>
            </w:r>
          </w:p>
        </w:tc>
      </w:tr>
      <w:tr>
        <w:trPr/>
        <w:tc>
          <w:tcPr>
            <w:tcW w:w="1642" w:type="dxa"/>
            <w:tcBorders>
              <w:bottom w:val="single" w:sz="2" w:space="0" w:color="000000"/>
            </w:tcBorders>
            <w:shd w:fill="CCEEFF" w:val="clear"/>
            <w:vAlign w:val="center"/>
          </w:tcPr>
          <w:p>
            <w:pPr>
              <w:pStyle w:val="TableContents"/>
              <w:bidi w:val="0"/>
              <w:spacing w:before="0" w:after="283"/>
              <w:jc w:val="left"/>
              <w:rPr/>
            </w:pPr>
            <w:r>
              <w:rPr/>
              <w:t>March 1, 2023, through March 31,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bottom w:val="single" w:sz="2" w:space="0" w:color="000000"/>
            </w:tcBorders>
            <w:shd w:fill="CCEEFF" w:val="clear"/>
            <w:vAlign w:val="center"/>
          </w:tcPr>
          <w:p>
            <w:pPr>
              <w:pStyle w:val="TableContents"/>
              <w:bidi w:val="0"/>
              <w:spacing w:before="0" w:after="283"/>
              <w:jc w:val="left"/>
              <w:rPr/>
            </w:pPr>
            <w:r>
              <w:rPr/>
              <w:t> </w:t>
            </w:r>
          </w:p>
        </w:tc>
        <w:tc>
          <w:tcPr>
            <w:tcW w:w="1008" w:type="dxa"/>
            <w:tcBorders>
              <w:bottom w:val="single" w:sz="2" w:space="0" w:color="000000"/>
            </w:tcBorders>
            <w:shd w:fill="CCEEFF" w:val="clear"/>
            <w:vAlign w:val="center"/>
          </w:tcPr>
          <w:p>
            <w:pPr>
              <w:pStyle w:val="TableContents"/>
              <w:bidi w:val="0"/>
              <w:spacing w:before="0" w:after="283"/>
              <w:ind w:left="0" w:right="0" w:hanging="0"/>
              <w:jc w:val="right"/>
              <w:rPr/>
            </w:pPr>
            <w:r>
              <w:rPr/>
              <w:t>665,739</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7" w:type="dxa"/>
            <w:tcBorders>
              <w:bottom w:val="single" w:sz="2" w:space="0" w:color="000000"/>
            </w:tcBorders>
            <w:shd w:fill="CCEEFF" w:val="clear"/>
            <w:vAlign w:val="center"/>
          </w:tcPr>
          <w:p>
            <w:pPr>
              <w:pStyle w:val="TableContents"/>
              <w:bidi w:val="0"/>
              <w:spacing w:before="0" w:after="283"/>
              <w:jc w:val="left"/>
              <w:rPr/>
            </w:pPr>
            <w:r>
              <w:rPr/>
              <w:t> </w:t>
            </w:r>
          </w:p>
        </w:tc>
        <w:tc>
          <w:tcPr>
            <w:tcW w:w="699" w:type="dxa"/>
            <w:tcBorders>
              <w:bottom w:val="single" w:sz="2" w:space="0" w:color="000000"/>
            </w:tcBorders>
            <w:shd w:fill="CCEEFF" w:val="clear"/>
            <w:vAlign w:val="center"/>
          </w:tcPr>
          <w:p>
            <w:pPr>
              <w:pStyle w:val="TableContents"/>
              <w:bidi w:val="0"/>
              <w:spacing w:before="0" w:after="283"/>
              <w:jc w:val="right"/>
              <w:rPr/>
            </w:pPr>
            <w:r>
              <w:rPr/>
              <w:t>5.09</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bottom w:val="single" w:sz="2" w:space="0" w:color="000000"/>
            </w:tcBorders>
            <w:shd w:fill="CCEEFF" w:val="clear"/>
            <w:vAlign w:val="center"/>
          </w:tcPr>
          <w:p>
            <w:pPr>
              <w:pStyle w:val="TableContents"/>
              <w:bidi w:val="0"/>
              <w:spacing w:before="0" w:after="283"/>
              <w:jc w:val="left"/>
              <w:rPr/>
            </w:pPr>
            <w:r>
              <w:rPr/>
              <w:t> </w:t>
            </w:r>
          </w:p>
        </w:tc>
        <w:tc>
          <w:tcPr>
            <w:tcW w:w="2733" w:type="dxa"/>
            <w:tcBorders>
              <w:bottom w:val="single" w:sz="2" w:space="0" w:color="000000"/>
            </w:tcBorders>
            <w:shd w:fill="CCEEFF" w:val="clear"/>
            <w:vAlign w:val="center"/>
          </w:tcPr>
          <w:p>
            <w:pPr>
              <w:pStyle w:val="TableContents"/>
              <w:bidi w:val="0"/>
              <w:spacing w:before="0" w:after="283"/>
              <w:jc w:val="right"/>
              <w:rPr/>
            </w:pPr>
            <w:r>
              <w:rPr/>
              <w:t>1,575,692</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6" w:type="dxa"/>
            <w:tcBorders>
              <w:bottom w:val="single" w:sz="2" w:space="0" w:color="000000"/>
            </w:tcBorders>
            <w:shd w:fill="CCEEFF" w:val="clear"/>
            <w:vAlign w:val="center"/>
          </w:tcPr>
          <w:p>
            <w:pPr>
              <w:pStyle w:val="TableContents"/>
              <w:bidi w:val="0"/>
              <w:spacing w:before="0" w:after="283"/>
              <w:jc w:val="left"/>
              <w:rPr/>
            </w:pPr>
            <w:r>
              <w:rPr/>
              <w:t> </w:t>
            </w:r>
          </w:p>
        </w:tc>
        <w:tc>
          <w:tcPr>
            <w:tcW w:w="2875" w:type="dxa"/>
            <w:tcBorders>
              <w:bottom w:val="single" w:sz="2" w:space="0" w:color="000000"/>
            </w:tcBorders>
            <w:shd w:fill="CCEEFF" w:val="clear"/>
            <w:vAlign w:val="center"/>
          </w:tcPr>
          <w:p>
            <w:pPr>
              <w:pStyle w:val="TableContents"/>
              <w:bidi w:val="0"/>
              <w:spacing w:before="0" w:after="283"/>
              <w:jc w:val="right"/>
              <w:rPr/>
            </w:pPr>
            <w:r>
              <w:rPr/>
              <w:t>39,079,815</w:t>
            </w:r>
          </w:p>
        </w:tc>
        <w:tc>
          <w:tcPr>
            <w:tcW w:w="63"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1642"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b/>
                <w:sz w:val="20"/>
                <w:shd w:fill="FFFFFF" w:val="clear"/>
              </w:rPr>
            </w:pPr>
            <w:r>
              <w:rPr>
                <w:rFonts w:ascii="Times New Roman;Times;serif" w:hAnsi="Times New Roman;Times;serif"/>
                <w:b/>
                <w:sz w:val="20"/>
                <w:shd w:fill="FFFFFF" w:val="clear"/>
              </w:rPr>
              <w:t>665,739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7"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9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5.09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273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1,575,692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6"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28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b/>
                <w:sz w:val="20"/>
                <w:shd w:fill="FFFFFF" w:val="clear"/>
              </w:rPr>
            </w:pPr>
            <w:r>
              <w:rPr>
                <w:rFonts w:ascii="Times New Roman;Times;serif" w:hAnsi="Times New Roman;Times;serif"/>
                <w:b/>
                <w:sz w:val="20"/>
                <w:shd w:fill="FFFFFF" w:val="clear"/>
              </w:rPr>
              <w:t>39,079,815</w:t>
            </w:r>
          </w:p>
        </w:tc>
        <w:tc>
          <w:tcPr>
            <w:tcW w:w="63"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 On December 20, 2021, the Company announced that it had initiated a share repurchase program, or the Share Repurchase Program, pursuant to which the Company may repurchase up to $50 million of shares of its common stock through December 31, 2023. Repurchases will be made in compliance with Rule 10b-18 of the Securities Exchange Act of 1934, as amended, subject to a variety of factors, including the market price of the Company’s common stock, general market and economic conditions and applicable legal requirements. The exact number of shares to be repurchased by the Company is not guaranteed and the program may be suspended, modified, or discontinued at any time without prior notice.</w:t>
            </w:r>
          </w:p>
        </w:tc>
      </w:tr>
    </w:tbl>
    <w:p>
      <w:pPr>
        <w:pStyle w:val="TextBody"/>
        <w:bidi w:val="0"/>
        <w:spacing w:before="0" w:after="0"/>
        <w:ind w:left="0" w:right="0" w:hanging="0"/>
        <w:jc w:val="left"/>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740"/>
        <w:gridCol w:w="3635"/>
      </w:tblGrid>
      <w:tr>
        <w:trPr/>
        <w:tc>
          <w:tcPr>
            <w:tcW w:w="740" w:type="dxa"/>
            <w:tcBorders/>
            <w:vAlign w:val="center"/>
          </w:tcPr>
          <w:p>
            <w:pPr>
              <w:pStyle w:val="TableContents"/>
              <w:bidi w:val="0"/>
              <w:spacing w:before="0" w:after="0"/>
              <w:ind w:left="0" w:right="0" w:hanging="0"/>
              <w:jc w:val="both"/>
              <w:rPr>
                <w:rFonts w:ascii="Times New Roman;Times;serif" w:hAnsi="Times New Roman;Times;serif"/>
                <w:b/>
                <w:caps/>
                <w:sz w:val="20"/>
              </w:rPr>
            </w:pPr>
            <w:bookmarkStart w:id="16" w:name="defaults"/>
            <w:bookmarkEnd w:id="16"/>
            <w:r>
              <w:rPr>
                <w:rFonts w:ascii="Times New Roman;Times;serif" w:hAnsi="Times New Roman;Times;serif"/>
                <w:b/>
                <w:caps/>
                <w:sz w:val="20"/>
              </w:rPr>
              <w:t>Item 3.</w:t>
            </w:r>
          </w:p>
        </w:tc>
        <w:tc>
          <w:tcPr>
            <w:tcW w:w="3635" w:type="dxa"/>
            <w:tcBorders/>
            <w:vAlign w:val="center"/>
          </w:tcPr>
          <w:p>
            <w:pPr>
              <w:pStyle w:val="TableContents"/>
              <w:bidi w:val="0"/>
              <w:spacing w:before="0" w:after="0"/>
              <w:ind w:left="0" w:right="0" w:hanging="0"/>
              <w:jc w:val="both"/>
              <w:rPr>
                <w:rFonts w:ascii="Times New Roman;Times;serif" w:hAnsi="Times New Roman;Times;serif"/>
                <w:b/>
                <w:caps/>
                <w:sz w:val="20"/>
              </w:rPr>
            </w:pPr>
            <w:r>
              <w:rPr>
                <w:rFonts w:ascii="Times New Roman;Times;serif" w:hAnsi="Times New Roman;Times;serif"/>
                <w:b/>
                <w:caps/>
                <w:sz w:val="20"/>
              </w:rPr>
              <w:t>Defaults Upon Senior Securities</w:t>
            </w:r>
          </w:p>
        </w:tc>
      </w:tr>
    </w:tbl>
    <w:p>
      <w:pPr>
        <w:pStyle w:val="TextBody"/>
        <w:bidi w:val="0"/>
        <w:spacing w:before="0" w:after="0"/>
        <w:ind w:left="1101" w:right="0" w:hanging="1109"/>
        <w:jc w:val="both"/>
        <w:rPr/>
      </w:pPr>
      <w:r>
        <w:rPr/>
        <w:t> </w:t>
      </w:r>
    </w:p>
    <w:p>
      <w:pPr>
        <w:pStyle w:val="TextBody"/>
        <w:bidi w:val="0"/>
        <w:spacing w:before="0" w:after="0"/>
        <w:ind w:left="1101" w:right="0" w:hanging="1109"/>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1101" w:right="0" w:hanging="1109"/>
        <w:jc w:val="both"/>
        <w:rPr/>
      </w:pPr>
      <w:r>
        <w:rPr/>
        <w:t> </w:t>
      </w:r>
    </w:p>
    <w:tbl>
      <w:tblPr>
        <w:tblW w:w="3490" w:type="dxa"/>
        <w:jc w:val="left"/>
        <w:tblInd w:w="0" w:type="dxa"/>
        <w:tblLayout w:type="fixed"/>
        <w:tblCellMar>
          <w:top w:w="0" w:type="dxa"/>
          <w:left w:w="0" w:type="dxa"/>
          <w:bottom w:w="0" w:type="dxa"/>
          <w:right w:w="0" w:type="dxa"/>
        </w:tblCellMar>
      </w:tblPr>
      <w:tblGrid>
        <w:gridCol w:w="740"/>
        <w:gridCol w:w="2750"/>
      </w:tblGrid>
      <w:tr>
        <w:trPr/>
        <w:tc>
          <w:tcPr>
            <w:tcW w:w="740" w:type="dxa"/>
            <w:tcBorders/>
            <w:vAlign w:val="center"/>
          </w:tcPr>
          <w:p>
            <w:pPr>
              <w:pStyle w:val="TableContents"/>
              <w:bidi w:val="0"/>
              <w:spacing w:before="0" w:after="0"/>
              <w:ind w:left="0" w:right="0" w:hanging="0"/>
              <w:jc w:val="both"/>
              <w:rPr>
                <w:rFonts w:ascii="Times New Roman;Times;serif" w:hAnsi="Times New Roman;Times;serif"/>
                <w:b/>
                <w:caps/>
                <w:sz w:val="20"/>
              </w:rPr>
            </w:pPr>
            <w:bookmarkStart w:id="17" w:name="mine"/>
            <w:bookmarkEnd w:id="17"/>
            <w:r>
              <w:rPr>
                <w:rFonts w:ascii="Times New Roman;Times;serif" w:hAnsi="Times New Roman;Times;serif"/>
                <w:b/>
                <w:caps/>
                <w:sz w:val="20"/>
              </w:rPr>
              <w:t>Item 4.</w:t>
            </w:r>
          </w:p>
        </w:tc>
        <w:tc>
          <w:tcPr>
            <w:tcW w:w="2750" w:type="dxa"/>
            <w:tcBorders/>
            <w:vAlign w:val="center"/>
          </w:tcPr>
          <w:p>
            <w:pPr>
              <w:pStyle w:val="TableContents"/>
              <w:bidi w:val="0"/>
              <w:spacing w:before="0" w:after="0"/>
              <w:ind w:left="0" w:right="0" w:hanging="0"/>
              <w:jc w:val="both"/>
              <w:rPr>
                <w:rFonts w:ascii="Times New Roman;Times;serif" w:hAnsi="Times New Roman;Times;serif"/>
                <w:b/>
                <w:caps/>
                <w:sz w:val="20"/>
              </w:rPr>
            </w:pPr>
            <w:r>
              <w:rPr>
                <w:rFonts w:ascii="Times New Roman;Times;serif" w:hAnsi="Times New Roman;Times;serif"/>
                <w:b/>
                <w:caps/>
                <w:sz w:val="20"/>
              </w:rPr>
              <w:t>Mine Safety Disclosures</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both"/>
        <w:rPr/>
      </w:pPr>
      <w:r>
        <w:rPr/>
        <w:t> </w:t>
      </w:r>
    </w:p>
    <w:tbl>
      <w:tblPr>
        <w:tblW w:w="2935" w:type="dxa"/>
        <w:jc w:val="left"/>
        <w:tblInd w:w="0" w:type="dxa"/>
        <w:tblLayout w:type="fixed"/>
        <w:tblCellMar>
          <w:top w:w="0" w:type="dxa"/>
          <w:left w:w="0" w:type="dxa"/>
          <w:bottom w:w="0" w:type="dxa"/>
          <w:right w:w="0" w:type="dxa"/>
        </w:tblCellMar>
      </w:tblPr>
      <w:tblGrid>
        <w:gridCol w:w="740"/>
        <w:gridCol w:w="2195"/>
      </w:tblGrid>
      <w:tr>
        <w:trPr/>
        <w:tc>
          <w:tcPr>
            <w:tcW w:w="740" w:type="dxa"/>
            <w:tcBorders/>
            <w:vAlign w:val="center"/>
          </w:tcPr>
          <w:p>
            <w:pPr>
              <w:pStyle w:val="TableContents"/>
              <w:bidi w:val="0"/>
              <w:spacing w:before="0" w:after="0"/>
              <w:ind w:left="0" w:right="0" w:hanging="0"/>
              <w:jc w:val="both"/>
              <w:rPr>
                <w:rFonts w:ascii="Times New Roman;Times;serif" w:hAnsi="Times New Roman;Times;serif"/>
                <w:b/>
                <w:caps/>
                <w:sz w:val="20"/>
              </w:rPr>
            </w:pPr>
            <w:bookmarkStart w:id="18" w:name="other"/>
            <w:bookmarkEnd w:id="18"/>
            <w:r>
              <w:rPr>
                <w:rFonts w:ascii="Times New Roman;Times;serif" w:hAnsi="Times New Roman;Times;serif"/>
                <w:b/>
                <w:caps/>
                <w:sz w:val="20"/>
              </w:rPr>
              <w:t>Item 5.</w:t>
            </w:r>
          </w:p>
        </w:tc>
        <w:tc>
          <w:tcPr>
            <w:tcW w:w="2195" w:type="dxa"/>
            <w:tcBorders/>
            <w:vAlign w:val="center"/>
          </w:tcPr>
          <w:p>
            <w:pPr>
              <w:pStyle w:val="TableContents"/>
              <w:bidi w:val="0"/>
              <w:spacing w:before="0" w:after="0"/>
              <w:ind w:left="0" w:right="0" w:hanging="0"/>
              <w:jc w:val="both"/>
              <w:rPr>
                <w:rFonts w:ascii="Times New Roman;Times;serif" w:hAnsi="Times New Roman;Times;serif"/>
                <w:b/>
                <w:caps/>
                <w:sz w:val="20"/>
              </w:rPr>
            </w:pPr>
            <w:r>
              <w:rPr>
                <w:rFonts w:ascii="Times New Roman;Times;serif" w:hAnsi="Times New Roman;Times;serif"/>
                <w:b/>
                <w:caps/>
                <w:sz w:val="20"/>
              </w:rPr>
              <w:t>Other Information</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705" w:type="dxa"/>
        <w:jc w:val="left"/>
        <w:tblInd w:w="0" w:type="dxa"/>
        <w:tblLayout w:type="fixed"/>
        <w:tblCellMar>
          <w:top w:w="0" w:type="dxa"/>
          <w:left w:w="0" w:type="dxa"/>
          <w:bottom w:w="0" w:type="dxa"/>
          <w:right w:w="0" w:type="dxa"/>
        </w:tblCellMar>
      </w:tblPr>
      <w:tblGrid>
        <w:gridCol w:w="740"/>
        <w:gridCol w:w="965"/>
      </w:tblGrid>
      <w:tr>
        <w:trPr/>
        <w:tc>
          <w:tcPr>
            <w:tcW w:w="740" w:type="dxa"/>
            <w:tcBorders/>
            <w:vAlign w:val="center"/>
          </w:tcPr>
          <w:p>
            <w:pPr>
              <w:pStyle w:val="TableContents"/>
              <w:bidi w:val="0"/>
              <w:spacing w:before="0" w:after="0"/>
              <w:ind w:left="0" w:right="0" w:hanging="0"/>
              <w:jc w:val="both"/>
              <w:rPr>
                <w:rFonts w:ascii="Times New Roman;Times;serif" w:hAnsi="Times New Roman;Times;serif"/>
                <w:b/>
                <w:caps/>
                <w:sz w:val="20"/>
              </w:rPr>
            </w:pPr>
            <w:bookmarkStart w:id="19" w:name="exhibits"/>
            <w:bookmarkEnd w:id="19"/>
            <w:r>
              <w:rPr>
                <w:rFonts w:ascii="Times New Roman;Times;serif" w:hAnsi="Times New Roman;Times;serif"/>
                <w:b/>
                <w:caps/>
                <w:sz w:val="20"/>
              </w:rPr>
              <w:t>Item 6.</w:t>
            </w:r>
          </w:p>
        </w:tc>
        <w:tc>
          <w:tcPr>
            <w:tcW w:w="965" w:type="dxa"/>
            <w:tcBorders/>
            <w:vAlign w:val="center"/>
          </w:tcPr>
          <w:p>
            <w:pPr>
              <w:pStyle w:val="TableContents"/>
              <w:bidi w:val="0"/>
              <w:spacing w:before="0" w:after="0"/>
              <w:ind w:left="0" w:right="0" w:hanging="0"/>
              <w:jc w:val="both"/>
              <w:rPr>
                <w:rFonts w:ascii="Times New Roman;Times;serif" w:hAnsi="Times New Roman;Times;serif"/>
                <w:b/>
                <w:caps/>
                <w:sz w:val="20"/>
              </w:rPr>
            </w:pPr>
            <w:r>
              <w:rPr>
                <w:rFonts w:ascii="Times New Roman;Times;serif" w:hAnsi="Times New Roman;Times;serif"/>
                <w:b/>
                <w:caps/>
                <w:sz w:val="20"/>
              </w:rPr>
              <w:t>Exhibits</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is a list of exhibits filed as part of this Form 10-Q (the SEC file number for all items incorporated by reference herein from reports on Forms 10-K, 10-Q, and 8-K is 001-36913):</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980"/>
        <w:gridCol w:w="60"/>
        <w:gridCol w:w="9165"/>
      </w:tblGrid>
      <w:tr>
        <w:trPr/>
        <w:tc>
          <w:tcPr>
            <w:tcW w:w="98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No.</w:t>
            </w:r>
          </w:p>
        </w:tc>
        <w:tc>
          <w:tcPr>
            <w:tcW w:w="60" w:type="dxa"/>
            <w:tcBorders/>
            <w:vAlign w:val="center"/>
          </w:tcPr>
          <w:p>
            <w:pPr>
              <w:pStyle w:val="TableContents"/>
              <w:bidi w:val="0"/>
              <w:spacing w:before="0" w:after="0"/>
              <w:ind w:left="0" w:right="0" w:hanging="0"/>
              <w:jc w:val="center"/>
              <w:rPr/>
            </w:pPr>
            <w:r>
              <w:rPr/>
              <w:t> </w:t>
            </w:r>
          </w:p>
        </w:tc>
        <w:tc>
          <w:tcPr>
            <w:tcW w:w="9165"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9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60" w:type="dxa"/>
            <w:tcBorders/>
            <w:vAlign w:val="center"/>
          </w:tcPr>
          <w:p>
            <w:pPr>
              <w:pStyle w:val="TableContents"/>
              <w:bidi w:val="0"/>
              <w:spacing w:before="0" w:after="0"/>
              <w:ind w:left="0" w:right="0" w:hanging="0"/>
              <w:jc w:val="left"/>
              <w:rPr/>
            </w:pPr>
            <w:r>
              <w:rPr/>
              <w:t> </w:t>
            </w:r>
          </w:p>
        </w:tc>
        <w:tc>
          <w:tcPr>
            <w:tcW w:w="9165" w:type="dxa"/>
            <w:tcBorders/>
            <w:vAlign w:val="center"/>
          </w:tcPr>
          <w:p>
            <w:pPr>
              <w:pStyle w:val="TableContents"/>
              <w:bidi w:val="0"/>
              <w:spacing w:before="0" w:after="0"/>
              <w:ind w:left="0" w:right="0" w:hanging="0"/>
              <w:jc w:val="both"/>
              <w:rPr/>
            </w:pPr>
            <w:hyperlink r:id="rId2">
              <w:r>
                <w:rPr>
                  <w:rStyle w:val="InternetLink"/>
                  <w:rFonts w:ascii="Times New Roman;Times;serif" w:hAnsi="Times New Roman;Times;serif"/>
                  <w:sz w:val="20"/>
                </w:rPr>
                <w:t>Amended and Restated Certificate of Incorporation of Zevra Therapeutics, Inc. (incorporated herein by reference to the Registrant’s Current Report on Form 8-K as filed with the SEC on April 21, 2015).</w:t>
              </w:r>
            </w:hyperlink>
          </w:p>
        </w:tc>
      </w:tr>
      <w:tr>
        <w:trPr/>
        <w:tc>
          <w:tcPr>
            <w:tcW w:w="980" w:type="dxa"/>
            <w:tcBorders/>
            <w:vAlign w:val="center"/>
          </w:tcPr>
          <w:p>
            <w:pPr>
              <w:pStyle w:val="TableContents"/>
              <w:bidi w:val="0"/>
              <w:spacing w:before="0" w:after="283"/>
              <w:jc w:val="center"/>
              <w:rPr/>
            </w:pPr>
            <w:r>
              <w:rPr/>
              <w:t>3.1.1</w:t>
            </w:r>
          </w:p>
        </w:tc>
        <w:tc>
          <w:tcPr>
            <w:tcW w:w="60" w:type="dxa"/>
            <w:tcBorders/>
            <w:vAlign w:val="center"/>
          </w:tcPr>
          <w:p>
            <w:pPr>
              <w:pStyle w:val="TableContents"/>
              <w:bidi w:val="0"/>
              <w:spacing w:before="0" w:after="283"/>
              <w:jc w:val="left"/>
              <w:rPr/>
            </w:pPr>
            <w:r>
              <w:rPr/>
              <w:t> </w:t>
            </w:r>
          </w:p>
        </w:tc>
        <w:tc>
          <w:tcPr>
            <w:tcW w:w="9165" w:type="dxa"/>
            <w:tcBorders/>
            <w:vAlign w:val="center"/>
          </w:tcPr>
          <w:p>
            <w:pPr>
              <w:pStyle w:val="TableContents"/>
              <w:bidi w:val="0"/>
              <w:spacing w:before="0" w:after="283"/>
              <w:jc w:val="both"/>
              <w:rPr/>
            </w:pPr>
            <w:hyperlink r:id="rId3">
              <w:r>
                <w:rPr>
                  <w:rStyle w:val="InternetLink"/>
                </w:rPr>
                <w:t>Certificate of Amendment of Amended and Restated Certificate of Incorporation of the Registrant, effective as of December 23, 2020 (incorporated herein by reference to Registrant's Current Report on Form 8-K as filed with the SEC on December 23, 2020).</w:t>
              </w:r>
            </w:hyperlink>
          </w:p>
        </w:tc>
      </w:tr>
      <w:tr>
        <w:trPr/>
        <w:tc>
          <w:tcPr>
            <w:tcW w:w="980" w:type="dxa"/>
            <w:tcBorders/>
            <w:vAlign w:val="center"/>
          </w:tcPr>
          <w:p>
            <w:pPr>
              <w:pStyle w:val="TableContents"/>
              <w:bidi w:val="0"/>
              <w:spacing w:before="0" w:after="283"/>
              <w:jc w:val="center"/>
              <w:rPr/>
            </w:pPr>
            <w:r>
              <w:rPr/>
              <w:t>3.1.2</w:t>
            </w:r>
          </w:p>
        </w:tc>
        <w:tc>
          <w:tcPr>
            <w:tcW w:w="60" w:type="dxa"/>
            <w:tcBorders/>
            <w:vAlign w:val="center"/>
          </w:tcPr>
          <w:p>
            <w:pPr>
              <w:pStyle w:val="TableContents"/>
              <w:bidi w:val="0"/>
              <w:spacing w:before="0" w:after="283"/>
              <w:jc w:val="left"/>
              <w:rPr/>
            </w:pPr>
            <w:r>
              <w:rPr/>
              <w:t> </w:t>
            </w:r>
          </w:p>
        </w:tc>
        <w:tc>
          <w:tcPr>
            <w:tcW w:w="9165" w:type="dxa"/>
            <w:tcBorders/>
            <w:vAlign w:val="center"/>
          </w:tcPr>
          <w:p>
            <w:pPr>
              <w:pStyle w:val="TableContents"/>
              <w:bidi w:val="0"/>
              <w:spacing w:before="0" w:after="283"/>
              <w:jc w:val="both"/>
              <w:rPr/>
            </w:pPr>
            <w:hyperlink r:id="rId4">
              <w:r>
                <w:rPr>
                  <w:rStyle w:val="InternetLink"/>
                </w:rPr>
                <w:t>Certificate of Amendment of Amended and Restated Certificate of Incorporation of Zevra Therapeutics, Inc. (incorporated herein by reference to the Registrant's Current Report on Form 8-K as filed with the SEC on February 24, 2023).</w:t>
              </w:r>
            </w:hyperlink>
          </w:p>
        </w:tc>
      </w:tr>
      <w:tr>
        <w:trPr/>
        <w:tc>
          <w:tcPr>
            <w:tcW w:w="9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60" w:type="dxa"/>
            <w:tcBorders/>
            <w:vAlign w:val="center"/>
          </w:tcPr>
          <w:p>
            <w:pPr>
              <w:pStyle w:val="TableContents"/>
              <w:bidi w:val="0"/>
              <w:spacing w:before="0" w:after="283"/>
              <w:jc w:val="left"/>
              <w:rPr/>
            </w:pPr>
            <w:r>
              <w:rPr/>
              <w:t> </w:t>
            </w:r>
          </w:p>
        </w:tc>
        <w:tc>
          <w:tcPr>
            <w:tcW w:w="9165" w:type="dxa"/>
            <w:tcBorders/>
            <w:vAlign w:val="center"/>
          </w:tcPr>
          <w:p>
            <w:pPr>
              <w:pStyle w:val="TableContents"/>
              <w:bidi w:val="0"/>
              <w:spacing w:before="0" w:after="283"/>
              <w:jc w:val="both"/>
              <w:rPr/>
            </w:pPr>
            <w:hyperlink r:id="rId5">
              <w:r>
                <w:rPr>
                  <w:rStyle w:val="InternetLink"/>
                </w:rPr>
                <w:t>Amended and Restated Bylaws, as currently in effect, of Zevra Therapeutics, Inc. (incorporated herein by reference to the Registrant's Current Report on Form 8-K as filed with the SEC on February 24, 2023).</w:t>
              </w:r>
            </w:hyperlink>
          </w:p>
        </w:tc>
      </w:tr>
      <w:tr>
        <w:trPr/>
        <w:tc>
          <w:tcPr>
            <w:tcW w:w="9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60" w:type="dxa"/>
            <w:tcBorders/>
            <w:vAlign w:val="center"/>
          </w:tcPr>
          <w:p>
            <w:pPr>
              <w:pStyle w:val="TableContents"/>
              <w:bidi w:val="0"/>
              <w:spacing w:before="0" w:after="0"/>
              <w:ind w:left="0" w:right="0" w:hanging="0"/>
              <w:jc w:val="left"/>
              <w:rPr/>
            </w:pPr>
            <w:r>
              <w:rPr/>
              <w:t> </w:t>
            </w:r>
          </w:p>
        </w:tc>
        <w:tc>
          <w:tcPr>
            <w:tcW w:w="9165" w:type="dxa"/>
            <w:tcBorders/>
            <w:vAlign w:val="center"/>
          </w:tcPr>
          <w:p>
            <w:pPr>
              <w:pStyle w:val="TableContents"/>
              <w:bidi w:val="0"/>
              <w:spacing w:before="0" w:after="283"/>
              <w:jc w:val="left"/>
              <w:rPr/>
            </w:pPr>
            <w:hyperlink r:id="rId6">
              <w:r>
                <w:rPr>
                  <w:rStyle w:val="InternetLink"/>
                </w:rPr>
                <w:t>Specimen stock certificate evidencing shares of Common Stock (incorporated herein by reference to the Registrant's Annual Report on Form 10-K as filed with the SEC on March 12, 2021).</w:t>
              </w:r>
            </w:hyperlink>
          </w:p>
        </w:tc>
      </w:tr>
      <w:tr>
        <w:trPr/>
        <w:tc>
          <w:tcPr>
            <w:tcW w:w="980" w:type="dxa"/>
            <w:tcBorders/>
            <w:vAlign w:val="center"/>
          </w:tcPr>
          <w:p>
            <w:pPr>
              <w:pStyle w:val="TableContents"/>
              <w:bidi w:val="0"/>
              <w:spacing w:before="0" w:after="283"/>
              <w:jc w:val="center"/>
              <w:rPr/>
            </w:pPr>
            <w:r>
              <w:rPr/>
              <w:t>10.1</w:t>
            </w:r>
          </w:p>
        </w:tc>
        <w:tc>
          <w:tcPr>
            <w:tcW w:w="60" w:type="dxa"/>
            <w:tcBorders/>
            <w:vAlign w:val="center"/>
          </w:tcPr>
          <w:p>
            <w:pPr>
              <w:pStyle w:val="TableContents"/>
              <w:bidi w:val="0"/>
              <w:spacing w:before="0" w:after="283"/>
              <w:jc w:val="left"/>
              <w:rPr/>
            </w:pPr>
            <w:r>
              <w:rPr/>
              <w:t> </w:t>
            </w:r>
          </w:p>
        </w:tc>
        <w:tc>
          <w:tcPr>
            <w:tcW w:w="9165" w:type="dxa"/>
            <w:tcBorders/>
            <w:vAlign w:val="center"/>
          </w:tcPr>
          <w:p>
            <w:pPr>
              <w:pStyle w:val="TableContents"/>
              <w:bidi w:val="0"/>
              <w:spacing w:before="0" w:after="283"/>
              <w:jc w:val="left"/>
              <w:rPr/>
            </w:pPr>
            <w:hyperlink r:id="rId7">
              <w:r>
                <w:rPr>
                  <w:rStyle w:val="InternetLink"/>
                </w:rPr>
                <w:t>Amendment to Employment Agreement, dated as of January 6, 2023, between Zevra Therapeutics, Inc. and Richard W. Pascoe (incorporated herein by reference to the Registrant's Current Report on Form 8-K as filed with the SEC on January 9, 2023).</w:t>
              </w:r>
            </w:hyperlink>
          </w:p>
        </w:tc>
      </w:tr>
      <w:tr>
        <w:trPr/>
        <w:tc>
          <w:tcPr>
            <w:tcW w:w="980" w:type="dxa"/>
            <w:tcBorders/>
            <w:vAlign w:val="center"/>
          </w:tcPr>
          <w:p>
            <w:pPr>
              <w:pStyle w:val="TableContents"/>
              <w:bidi w:val="0"/>
              <w:spacing w:before="0" w:after="283"/>
              <w:jc w:val="center"/>
              <w:rPr/>
            </w:pPr>
            <w:r>
              <w:rPr/>
              <w:t>10.2</w:t>
            </w:r>
          </w:p>
        </w:tc>
        <w:tc>
          <w:tcPr>
            <w:tcW w:w="60" w:type="dxa"/>
            <w:tcBorders/>
            <w:vAlign w:val="center"/>
          </w:tcPr>
          <w:p>
            <w:pPr>
              <w:pStyle w:val="TableContents"/>
              <w:bidi w:val="0"/>
              <w:spacing w:before="0" w:after="283"/>
              <w:jc w:val="left"/>
              <w:rPr/>
            </w:pPr>
            <w:r>
              <w:rPr/>
              <w:t> </w:t>
            </w:r>
          </w:p>
        </w:tc>
        <w:tc>
          <w:tcPr>
            <w:tcW w:w="9165" w:type="dxa"/>
            <w:tcBorders/>
            <w:vAlign w:val="center"/>
          </w:tcPr>
          <w:p>
            <w:pPr>
              <w:pStyle w:val="TableContents"/>
              <w:bidi w:val="0"/>
              <w:spacing w:before="0" w:after="283"/>
              <w:jc w:val="left"/>
              <w:rPr/>
            </w:pPr>
            <w:hyperlink r:id="rId8">
              <w:r>
                <w:rPr>
                  <w:rStyle w:val="InternetLink"/>
                </w:rPr>
                <w:t>Transition Agreement, dated as of January 4, 2023, as amended, between Zevra Therapeutics, Inc. and Travis C. Mickle, Ph.D. (incorporated herein by reference to the Registrant's Current Report on Form 8-K as filed with the SEC on January 9, 2023).</w:t>
              </w:r>
            </w:hyperlink>
          </w:p>
        </w:tc>
      </w:tr>
      <w:tr>
        <w:trPr/>
        <w:tc>
          <w:tcPr>
            <w:tcW w:w="980" w:type="dxa"/>
            <w:tcBorders/>
            <w:vAlign w:val="center"/>
          </w:tcPr>
          <w:p>
            <w:pPr>
              <w:pStyle w:val="TableContents"/>
              <w:bidi w:val="0"/>
              <w:spacing w:before="0" w:after="283"/>
              <w:jc w:val="center"/>
              <w:rPr/>
            </w:pPr>
            <w:r>
              <w:rPr/>
              <w:t>10.3</w:t>
            </w:r>
          </w:p>
        </w:tc>
        <w:tc>
          <w:tcPr>
            <w:tcW w:w="60" w:type="dxa"/>
            <w:tcBorders/>
            <w:vAlign w:val="center"/>
          </w:tcPr>
          <w:p>
            <w:pPr>
              <w:pStyle w:val="TableContents"/>
              <w:bidi w:val="0"/>
              <w:spacing w:before="0" w:after="283"/>
              <w:jc w:val="left"/>
              <w:rPr/>
            </w:pPr>
            <w:r>
              <w:rPr/>
              <w:t> </w:t>
            </w:r>
          </w:p>
        </w:tc>
        <w:tc>
          <w:tcPr>
            <w:tcW w:w="9165" w:type="dxa"/>
            <w:tcBorders/>
            <w:vAlign w:val="center"/>
          </w:tcPr>
          <w:p>
            <w:pPr>
              <w:pStyle w:val="TableContents"/>
              <w:bidi w:val="0"/>
              <w:spacing w:before="0" w:after="283"/>
              <w:jc w:val="left"/>
              <w:rPr/>
            </w:pPr>
            <w:hyperlink r:id="rId9">
              <w:r>
                <w:rPr>
                  <w:rStyle w:val="InternetLink"/>
                </w:rPr>
                <w:t>Consulting Agreement, dated as of January 6, 2023, between Zevra Therapeutics, Inc. and Travis C. Mickle, Ph.D. (incorporated herein by reference to the Registrant's Current Report on Form 8-K as filed with the SEC on January 9, 2023).</w:t>
              </w:r>
            </w:hyperlink>
          </w:p>
        </w:tc>
      </w:tr>
      <w:tr>
        <w:trPr/>
        <w:tc>
          <w:tcPr>
            <w:tcW w:w="980" w:type="dxa"/>
            <w:tcBorders/>
            <w:vAlign w:val="center"/>
          </w:tcPr>
          <w:p>
            <w:pPr>
              <w:pStyle w:val="TableContents"/>
              <w:bidi w:val="0"/>
              <w:spacing w:before="0" w:after="283"/>
              <w:jc w:val="center"/>
              <w:rPr/>
            </w:pPr>
            <w:r>
              <w:rPr/>
              <w:t>10.4</w:t>
            </w:r>
          </w:p>
        </w:tc>
        <w:tc>
          <w:tcPr>
            <w:tcW w:w="60" w:type="dxa"/>
            <w:tcBorders/>
            <w:vAlign w:val="center"/>
          </w:tcPr>
          <w:p>
            <w:pPr>
              <w:pStyle w:val="TableContents"/>
              <w:bidi w:val="0"/>
              <w:spacing w:before="0" w:after="283"/>
              <w:jc w:val="left"/>
              <w:rPr/>
            </w:pPr>
            <w:r>
              <w:rPr/>
              <w:t> </w:t>
            </w:r>
          </w:p>
        </w:tc>
        <w:tc>
          <w:tcPr>
            <w:tcW w:w="9165" w:type="dxa"/>
            <w:tcBorders/>
            <w:vAlign w:val="center"/>
          </w:tcPr>
          <w:p>
            <w:pPr>
              <w:pStyle w:val="TableContents"/>
              <w:bidi w:val="0"/>
              <w:spacing w:before="0" w:after="283"/>
              <w:jc w:val="left"/>
              <w:rPr/>
            </w:pPr>
            <w:hyperlink r:id="rId10">
              <w:r>
                <w:rPr>
                  <w:rStyle w:val="InternetLink"/>
                </w:rPr>
                <w:t>2023 Employment Inducement Award Plan and forms of award agreements thereunder (incorporated herein by reference to the Registrant's Current Report on Form 8-K as filed with the SEC on March 7, 2023).</w:t>
              </w:r>
            </w:hyperlink>
          </w:p>
        </w:tc>
      </w:tr>
      <w:tr>
        <w:trPr/>
        <w:tc>
          <w:tcPr>
            <w:tcW w:w="980" w:type="dxa"/>
            <w:tcBorders/>
            <w:vAlign w:val="center"/>
          </w:tcPr>
          <w:p>
            <w:pPr>
              <w:pStyle w:val="TableContents"/>
              <w:bidi w:val="0"/>
              <w:spacing w:before="0" w:after="283"/>
              <w:jc w:val="center"/>
              <w:rPr/>
            </w:pPr>
            <w:r>
              <w:rPr/>
              <w:t>10.5</w:t>
            </w:r>
          </w:p>
        </w:tc>
        <w:tc>
          <w:tcPr>
            <w:tcW w:w="60" w:type="dxa"/>
            <w:tcBorders/>
            <w:vAlign w:val="center"/>
          </w:tcPr>
          <w:p>
            <w:pPr>
              <w:pStyle w:val="TableContents"/>
              <w:bidi w:val="0"/>
              <w:spacing w:before="0" w:after="283"/>
              <w:jc w:val="left"/>
              <w:rPr/>
            </w:pPr>
            <w:r>
              <w:rPr/>
              <w:t> </w:t>
            </w:r>
          </w:p>
        </w:tc>
        <w:tc>
          <w:tcPr>
            <w:tcW w:w="9165" w:type="dxa"/>
            <w:tcBorders/>
            <w:vAlign w:val="center"/>
          </w:tcPr>
          <w:p>
            <w:pPr>
              <w:pStyle w:val="TableContents"/>
              <w:bidi w:val="0"/>
              <w:spacing w:before="0" w:after="283"/>
              <w:jc w:val="left"/>
              <w:rPr/>
            </w:pPr>
            <w:hyperlink r:id="rId11">
              <w:r>
                <w:rPr>
                  <w:rStyle w:val="InternetLink"/>
                </w:rPr>
                <w:t>Transition Agreement, dated as of May 6, 2023, between Zevra Therapeutics, Inc. and Richard W. Pascoe (incorporated herein by reference to the Registrant's Current Report on Form 8-K as filed with the SEC on May 8, 2023).</w:t>
              </w:r>
            </w:hyperlink>
          </w:p>
        </w:tc>
      </w:tr>
      <w:tr>
        <w:trPr/>
        <w:tc>
          <w:tcPr>
            <w:tcW w:w="980" w:type="dxa"/>
            <w:tcBorders/>
            <w:vAlign w:val="center"/>
          </w:tcPr>
          <w:p>
            <w:pPr>
              <w:pStyle w:val="TableContents"/>
              <w:bidi w:val="0"/>
              <w:spacing w:before="0" w:after="283"/>
              <w:jc w:val="center"/>
              <w:rPr/>
            </w:pPr>
            <w:r>
              <w:rPr/>
              <w:t>10.6</w:t>
            </w:r>
          </w:p>
        </w:tc>
        <w:tc>
          <w:tcPr>
            <w:tcW w:w="60" w:type="dxa"/>
            <w:tcBorders/>
            <w:vAlign w:val="center"/>
          </w:tcPr>
          <w:p>
            <w:pPr>
              <w:pStyle w:val="TableContents"/>
              <w:bidi w:val="0"/>
              <w:spacing w:before="0" w:after="283"/>
              <w:jc w:val="left"/>
              <w:rPr/>
            </w:pPr>
            <w:r>
              <w:rPr/>
              <w:t> </w:t>
            </w:r>
          </w:p>
        </w:tc>
        <w:tc>
          <w:tcPr>
            <w:tcW w:w="9165" w:type="dxa"/>
            <w:tcBorders/>
            <w:vAlign w:val="center"/>
          </w:tcPr>
          <w:p>
            <w:pPr>
              <w:pStyle w:val="TableContents"/>
              <w:bidi w:val="0"/>
              <w:spacing w:before="0" w:after="283"/>
              <w:jc w:val="left"/>
              <w:rPr/>
            </w:pPr>
            <w:r>
              <w:rPr/>
              <w:t>Agreement Regarding Employment Terms, dated as of May 15, 2023, between Zevra Therapeutics, Inc. and Christal M.M. Mickle (incorporated herein by reference to the Registrant's Current Report on Form 8-K as filed with the SEC on May 15, 2023).</w:t>
            </w:r>
          </w:p>
        </w:tc>
      </w:tr>
      <w:tr>
        <w:trPr/>
        <w:tc>
          <w:tcPr>
            <w:tcW w:w="9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60" w:type="dxa"/>
            <w:tcBorders/>
            <w:vAlign w:val="center"/>
          </w:tcPr>
          <w:p>
            <w:pPr>
              <w:pStyle w:val="TableContents"/>
              <w:bidi w:val="0"/>
              <w:spacing w:before="0" w:after="0"/>
              <w:ind w:left="0" w:right="0" w:hanging="0"/>
              <w:jc w:val="left"/>
              <w:rPr/>
            </w:pPr>
            <w:r>
              <w:rPr/>
              <w:t> </w:t>
            </w:r>
          </w:p>
        </w:tc>
        <w:tc>
          <w:tcPr>
            <w:tcW w:w="9165" w:type="dxa"/>
            <w:tcBorders/>
            <w:vAlign w:val="center"/>
          </w:tcPr>
          <w:p>
            <w:pPr>
              <w:pStyle w:val="TableContents"/>
              <w:bidi w:val="0"/>
              <w:spacing w:before="0" w:after="0"/>
              <w:ind w:left="0" w:right="0" w:hanging="0"/>
              <w:jc w:val="both"/>
              <w:rPr/>
            </w:pPr>
            <w:hyperlink w:anchor="ex_485756.htm">
              <w:r>
                <w:rPr>
                  <w:rStyle w:val="InternetLink"/>
                  <w:rFonts w:ascii="Times New Roman;Times;serif" w:hAnsi="Times New Roman;Times;serif"/>
                  <w:sz w:val="20"/>
                </w:rPr>
                <w:t>Certification of the Principal Executive Officer pursuant to Rule 13a-14(a) or Rule 15d-14(a) of the Securities Exchange Act of 1934, as amended.</w:t>
              </w:r>
            </w:hyperlink>
          </w:p>
        </w:tc>
      </w:tr>
      <w:tr>
        <w:trPr/>
        <w:tc>
          <w:tcPr>
            <w:tcW w:w="9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31.2*</w:t>
            </w:r>
          </w:p>
        </w:tc>
        <w:tc>
          <w:tcPr>
            <w:tcW w:w="60" w:type="dxa"/>
            <w:tcBorders/>
            <w:vAlign w:val="center"/>
          </w:tcPr>
          <w:p>
            <w:pPr>
              <w:pStyle w:val="TableContents"/>
              <w:bidi w:val="0"/>
              <w:spacing w:before="0" w:after="0"/>
              <w:ind w:left="0" w:right="0" w:hanging="0"/>
              <w:jc w:val="left"/>
              <w:rPr/>
            </w:pPr>
            <w:r>
              <w:rPr/>
              <w:t> </w:t>
            </w:r>
          </w:p>
        </w:tc>
        <w:tc>
          <w:tcPr>
            <w:tcW w:w="9165" w:type="dxa"/>
            <w:tcBorders/>
            <w:vAlign w:val="center"/>
          </w:tcPr>
          <w:p>
            <w:pPr>
              <w:pStyle w:val="TableContents"/>
              <w:bidi w:val="0"/>
              <w:spacing w:before="0" w:after="0"/>
              <w:ind w:left="0" w:right="0" w:hanging="0"/>
              <w:jc w:val="both"/>
              <w:rPr/>
            </w:pPr>
            <w:hyperlink w:anchor="ex_485757.htm">
              <w:r>
                <w:rPr>
                  <w:rStyle w:val="InternetLink"/>
                  <w:rFonts w:ascii="Times New Roman;Times;serif" w:hAnsi="Times New Roman;Times;serif"/>
                  <w:sz w:val="20"/>
                </w:rPr>
                <w:t>Certification of the Principal Financial Officer pursuant to Rule 13a-14(a) or Rule 15d-14(a) of the Securities Exchange Act of 1934, as amended.</w:t>
              </w:r>
            </w:hyperlink>
          </w:p>
        </w:tc>
      </w:tr>
      <w:tr>
        <w:trPr/>
        <w:tc>
          <w:tcPr>
            <w:tcW w:w="9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32.1**</w:t>
            </w:r>
          </w:p>
        </w:tc>
        <w:tc>
          <w:tcPr>
            <w:tcW w:w="60" w:type="dxa"/>
            <w:tcBorders/>
            <w:vAlign w:val="center"/>
          </w:tcPr>
          <w:p>
            <w:pPr>
              <w:pStyle w:val="TableContents"/>
              <w:bidi w:val="0"/>
              <w:spacing w:before="0" w:after="0"/>
              <w:ind w:left="0" w:right="0" w:hanging="0"/>
              <w:jc w:val="left"/>
              <w:rPr/>
            </w:pPr>
            <w:r>
              <w:rPr/>
              <w:t> </w:t>
            </w:r>
          </w:p>
        </w:tc>
        <w:tc>
          <w:tcPr>
            <w:tcW w:w="9165" w:type="dxa"/>
            <w:tcBorders/>
            <w:vAlign w:val="center"/>
          </w:tcPr>
          <w:p>
            <w:pPr>
              <w:pStyle w:val="TableContents"/>
              <w:bidi w:val="0"/>
              <w:spacing w:before="0" w:after="0"/>
              <w:ind w:left="0" w:right="0" w:hanging="0"/>
              <w:jc w:val="both"/>
              <w:rPr/>
            </w:pPr>
            <w:hyperlink w:anchor="ex_485758.htm">
              <w:r>
                <w:rPr>
                  <w:rStyle w:val="InternetLink"/>
                  <w:rFonts w:ascii="Times New Roman;Times;serif" w:hAnsi="Times New Roman;Times;serif"/>
                  <w:sz w:val="20"/>
                </w:rPr>
                <w:t>Certification of the Principal Executive Officer pursuant to Rule 13a-14(b) of the Securities Exchange Act of 1934, as amended, and 18. U.S.C. Section 1350, as adopted pursuant to Section 906 of the Sarbanes-Oxley Act of 2002.</w:t>
              </w:r>
            </w:hyperlink>
          </w:p>
        </w:tc>
      </w:tr>
      <w:tr>
        <w:trPr/>
        <w:tc>
          <w:tcPr>
            <w:tcW w:w="9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32.2**</w:t>
            </w:r>
          </w:p>
        </w:tc>
        <w:tc>
          <w:tcPr>
            <w:tcW w:w="60" w:type="dxa"/>
            <w:tcBorders/>
            <w:vAlign w:val="center"/>
          </w:tcPr>
          <w:p>
            <w:pPr>
              <w:pStyle w:val="TableContents"/>
              <w:bidi w:val="0"/>
              <w:spacing w:before="0" w:after="0"/>
              <w:ind w:left="0" w:right="0" w:hanging="0"/>
              <w:jc w:val="left"/>
              <w:rPr/>
            </w:pPr>
            <w:r>
              <w:rPr/>
              <w:t> </w:t>
            </w:r>
          </w:p>
        </w:tc>
        <w:tc>
          <w:tcPr>
            <w:tcW w:w="9165" w:type="dxa"/>
            <w:tcBorders/>
            <w:vAlign w:val="center"/>
          </w:tcPr>
          <w:p>
            <w:pPr>
              <w:pStyle w:val="TableContents"/>
              <w:bidi w:val="0"/>
              <w:spacing w:before="0" w:after="0"/>
              <w:ind w:left="0" w:right="0" w:hanging="0"/>
              <w:jc w:val="both"/>
              <w:rPr/>
            </w:pPr>
            <w:hyperlink w:anchor="ex_485759.htm">
              <w:r>
                <w:rPr>
                  <w:rStyle w:val="InternetLink"/>
                  <w:rFonts w:ascii="Times New Roman;Times;serif" w:hAnsi="Times New Roman;Times;serif"/>
                  <w:sz w:val="20"/>
                </w:rPr>
                <w:t>Certification of the Principal Financial Officer pursuant to Rule 13a-14(b) of the Securities Exchange Act of 1934, as amended, and 18. U.S.C. Section 1350, as adopted pursuant to Section 906 of the Sarbanes-Oxley Act of 2002.</w:t>
              </w:r>
            </w:hyperlink>
          </w:p>
        </w:tc>
      </w:tr>
      <w:tr>
        <w:trPr/>
        <w:tc>
          <w:tcPr>
            <w:tcW w:w="9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101.INS*</w:t>
            </w:r>
          </w:p>
        </w:tc>
        <w:tc>
          <w:tcPr>
            <w:tcW w:w="60" w:type="dxa"/>
            <w:tcBorders/>
            <w:vAlign w:val="center"/>
          </w:tcPr>
          <w:p>
            <w:pPr>
              <w:pStyle w:val="TableContents"/>
              <w:bidi w:val="0"/>
              <w:spacing w:before="0" w:after="0"/>
              <w:ind w:left="0" w:right="0" w:hanging="0"/>
              <w:jc w:val="left"/>
              <w:rPr/>
            </w:pPr>
            <w:r>
              <w:rPr/>
              <w:t> </w:t>
            </w:r>
          </w:p>
        </w:tc>
        <w:tc>
          <w:tcPr>
            <w:tcW w:w="916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Instance Document</w:t>
            </w:r>
          </w:p>
        </w:tc>
      </w:tr>
      <w:tr>
        <w:trPr/>
        <w:tc>
          <w:tcPr>
            <w:tcW w:w="9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101.SCH*</w:t>
            </w:r>
          </w:p>
        </w:tc>
        <w:tc>
          <w:tcPr>
            <w:tcW w:w="60" w:type="dxa"/>
            <w:tcBorders/>
            <w:vAlign w:val="center"/>
          </w:tcPr>
          <w:p>
            <w:pPr>
              <w:pStyle w:val="TableContents"/>
              <w:bidi w:val="0"/>
              <w:spacing w:before="0" w:after="0"/>
              <w:ind w:left="0" w:right="0" w:hanging="0"/>
              <w:jc w:val="left"/>
              <w:rPr/>
            </w:pPr>
            <w:r>
              <w:rPr/>
              <w:t> </w:t>
            </w:r>
          </w:p>
        </w:tc>
        <w:tc>
          <w:tcPr>
            <w:tcW w:w="916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9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101.CAL*</w:t>
            </w:r>
          </w:p>
        </w:tc>
        <w:tc>
          <w:tcPr>
            <w:tcW w:w="60" w:type="dxa"/>
            <w:tcBorders/>
            <w:vAlign w:val="center"/>
          </w:tcPr>
          <w:p>
            <w:pPr>
              <w:pStyle w:val="TableContents"/>
              <w:bidi w:val="0"/>
              <w:spacing w:before="0" w:after="0"/>
              <w:ind w:left="0" w:right="0" w:hanging="0"/>
              <w:jc w:val="left"/>
              <w:rPr/>
            </w:pPr>
            <w:r>
              <w:rPr/>
              <w:t> </w:t>
            </w:r>
          </w:p>
        </w:tc>
        <w:tc>
          <w:tcPr>
            <w:tcW w:w="916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9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101.DEF*</w:t>
            </w:r>
          </w:p>
        </w:tc>
        <w:tc>
          <w:tcPr>
            <w:tcW w:w="60" w:type="dxa"/>
            <w:tcBorders/>
            <w:vAlign w:val="center"/>
          </w:tcPr>
          <w:p>
            <w:pPr>
              <w:pStyle w:val="TableContents"/>
              <w:bidi w:val="0"/>
              <w:spacing w:before="0" w:after="0"/>
              <w:ind w:left="0" w:right="0" w:hanging="0"/>
              <w:jc w:val="left"/>
              <w:rPr/>
            </w:pPr>
            <w:r>
              <w:rPr/>
              <w:t> </w:t>
            </w:r>
          </w:p>
        </w:tc>
        <w:tc>
          <w:tcPr>
            <w:tcW w:w="916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9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101.LAB*</w:t>
            </w:r>
          </w:p>
        </w:tc>
        <w:tc>
          <w:tcPr>
            <w:tcW w:w="60" w:type="dxa"/>
            <w:tcBorders/>
            <w:vAlign w:val="center"/>
          </w:tcPr>
          <w:p>
            <w:pPr>
              <w:pStyle w:val="TableContents"/>
              <w:bidi w:val="0"/>
              <w:spacing w:before="0" w:after="0"/>
              <w:ind w:left="0" w:right="0" w:hanging="0"/>
              <w:jc w:val="left"/>
              <w:rPr/>
            </w:pPr>
            <w:r>
              <w:rPr/>
              <w:t> </w:t>
            </w:r>
          </w:p>
        </w:tc>
        <w:tc>
          <w:tcPr>
            <w:tcW w:w="916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9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101.PRE*</w:t>
            </w:r>
          </w:p>
        </w:tc>
        <w:tc>
          <w:tcPr>
            <w:tcW w:w="60" w:type="dxa"/>
            <w:tcBorders/>
            <w:vAlign w:val="center"/>
          </w:tcPr>
          <w:p>
            <w:pPr>
              <w:pStyle w:val="TableContents"/>
              <w:bidi w:val="0"/>
              <w:spacing w:before="0" w:after="0"/>
              <w:ind w:left="0" w:right="0" w:hanging="0"/>
              <w:jc w:val="left"/>
              <w:rPr/>
            </w:pPr>
            <w:r>
              <w:rPr/>
              <w:t> </w:t>
            </w:r>
          </w:p>
        </w:tc>
        <w:tc>
          <w:tcPr>
            <w:tcW w:w="916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980" w:type="dxa"/>
            <w:tcBorders/>
            <w:vAlign w:val="center"/>
          </w:tcPr>
          <w:p>
            <w:pPr>
              <w:pStyle w:val="TableContents"/>
              <w:bidi w:val="0"/>
              <w:spacing w:before="0" w:after="283"/>
              <w:jc w:val="center"/>
              <w:rPr/>
            </w:pPr>
            <w:r>
              <w:rPr/>
              <w:t>104**</w:t>
            </w:r>
          </w:p>
        </w:tc>
        <w:tc>
          <w:tcPr>
            <w:tcW w:w="60" w:type="dxa"/>
            <w:tcBorders/>
            <w:vAlign w:val="center"/>
          </w:tcPr>
          <w:p>
            <w:pPr>
              <w:pStyle w:val="TableContents"/>
              <w:bidi w:val="0"/>
              <w:spacing w:before="0" w:after="283"/>
              <w:jc w:val="left"/>
              <w:rPr/>
            </w:pPr>
            <w:r>
              <w:rPr/>
              <w:t> </w:t>
            </w:r>
          </w:p>
        </w:tc>
        <w:tc>
          <w:tcPr>
            <w:tcW w:w="9165" w:type="dxa"/>
            <w:tcBorders/>
            <w:vAlign w:val="center"/>
          </w:tcPr>
          <w:p>
            <w:pPr>
              <w:pStyle w:val="TableContents"/>
              <w:bidi w:val="0"/>
              <w:spacing w:before="0" w:after="283"/>
              <w:jc w:val="left"/>
              <w:rPr/>
            </w:pPr>
            <w:r>
              <w:rPr/>
              <w:t>Cover page Interactive Data File (embedded within the Inline XBRL and combined in Exhibit 101)</w:t>
            </w:r>
          </w:p>
        </w:tc>
      </w:tr>
    </w:tbl>
    <w:p>
      <w:pPr>
        <w:pStyle w:val="TextBody"/>
        <w:bidi w:val="0"/>
        <w:spacing w:before="0" w:after="0"/>
        <w:ind w:left="0" w:right="0" w:hanging="0"/>
        <w:jc w:val="left"/>
        <w:rPr/>
      </w:pPr>
      <w:r>
        <w:rPr/>
        <w:t> </w:t>
      </w:r>
    </w:p>
    <w:tbl>
      <w:tblPr>
        <w:tblW w:w="1810" w:type="dxa"/>
        <w:jc w:val="left"/>
        <w:tblInd w:w="0" w:type="dxa"/>
        <w:tblLayout w:type="fixed"/>
        <w:tblCellMar>
          <w:top w:w="0" w:type="dxa"/>
          <w:left w:w="0" w:type="dxa"/>
          <w:bottom w:w="0" w:type="dxa"/>
          <w:right w:w="0" w:type="dxa"/>
        </w:tblCellMar>
      </w:tblPr>
      <w:tblGrid>
        <w:gridCol w:w="230"/>
        <w:gridCol w:w="1580"/>
      </w:tblGrid>
      <w:tr>
        <w:trPr/>
        <w:tc>
          <w:tcPr>
            <w:tcW w:w="23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58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Filed herewith</w:t>
            </w:r>
          </w:p>
        </w:tc>
      </w:tr>
      <w:tr>
        <w:trPr/>
        <w:tc>
          <w:tcPr>
            <w:tcW w:w="23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58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Furnished herewith</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bookmarkStart w:id="20" w:name="sigs"/>
      <w:bookmarkEnd w:id="20"/>
      <w:r>
        <w:rPr>
          <w:rFonts w:ascii="Times New Roman;Times;serif" w:hAnsi="Times New Roman;Times;serif"/>
          <w:b/>
          <w:sz w:val="20"/>
        </w:rPr>
        <w:t xml:space="preserve">SIGNATURES </w:t>
      </w:r>
    </w:p>
    <w:p>
      <w:pPr>
        <w:pStyle w:val="TextBody"/>
        <w:shd w:fill="FFFFFF" w:val="clear"/>
        <w:bidi w:val="0"/>
        <w:spacing w:before="0" w:after="0"/>
        <w:ind w:left="0" w:right="0" w:hanging="0"/>
        <w:jc w:val="left"/>
        <w:rPr>
          <w:color w:val="000000"/>
        </w:rPr>
      </w:pPr>
      <w:r>
        <w:rPr>
          <w:color w:val="000000"/>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shd w:fill="FFFFFF" w:val="clear"/>
        <w:bidi w:val="0"/>
        <w:spacing w:before="0" w:after="0"/>
        <w:ind w:left="0" w:right="0" w:hanging="0"/>
        <w:jc w:val="left"/>
        <w:rPr>
          <w:color w:val="000000"/>
        </w:rPr>
      </w:pPr>
      <w:r>
        <w:rPr>
          <w:color w:val="000000"/>
        </w:rPr>
        <w:t> </w:t>
      </w:r>
    </w:p>
    <w:tbl>
      <w:tblPr>
        <w:tblW w:w="6045" w:type="dxa"/>
        <w:jc w:val="left"/>
        <w:tblInd w:w="0" w:type="dxa"/>
        <w:tblLayout w:type="fixed"/>
        <w:tblCellMar>
          <w:top w:w="0" w:type="dxa"/>
          <w:left w:w="0" w:type="dxa"/>
          <w:bottom w:w="0" w:type="dxa"/>
          <w:right w:w="0" w:type="dxa"/>
        </w:tblCellMar>
      </w:tblPr>
      <w:tblGrid>
        <w:gridCol w:w="1865"/>
        <w:gridCol w:w="320"/>
        <w:gridCol w:w="3860"/>
      </w:tblGrid>
      <w:tr>
        <w:trPr/>
        <w:tc>
          <w:tcPr>
            <w:tcW w:w="1865" w:type="dxa"/>
            <w:tcBorders/>
            <w:vAlign w:val="center"/>
          </w:tcPr>
          <w:p>
            <w:pPr>
              <w:pStyle w:val="TableContents"/>
              <w:bidi w:val="0"/>
              <w:spacing w:before="0" w:after="0"/>
              <w:ind w:left="0" w:right="0" w:hanging="0"/>
              <w:jc w:val="both"/>
              <w:rPr/>
            </w:pPr>
            <w:r>
              <w:rPr/>
              <w:t> </w:t>
            </w:r>
          </w:p>
        </w:tc>
        <w:tc>
          <w:tcPr>
            <w:tcW w:w="4180" w:type="dxa"/>
            <w:gridSpan w:val="2"/>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Zevra Therapeutics, Inc.</w:t>
            </w:r>
          </w:p>
        </w:tc>
      </w:tr>
      <w:tr>
        <w:trPr/>
        <w:tc>
          <w:tcPr>
            <w:tcW w:w="1865" w:type="dxa"/>
            <w:tcBorders/>
            <w:vAlign w:val="center"/>
          </w:tcPr>
          <w:p>
            <w:pPr>
              <w:pStyle w:val="TableContents"/>
              <w:bidi w:val="0"/>
              <w:spacing w:before="0" w:after="0"/>
              <w:ind w:left="0" w:right="0" w:hanging="0"/>
              <w:jc w:val="both"/>
              <w:rPr/>
            </w:pPr>
            <w:r>
              <w:rPr/>
              <w:t> </w:t>
            </w:r>
          </w:p>
        </w:tc>
        <w:tc>
          <w:tcPr>
            <w:tcW w:w="4180" w:type="dxa"/>
            <w:gridSpan w:val="2"/>
            <w:tcBorders/>
            <w:vAlign w:val="center"/>
          </w:tcPr>
          <w:p>
            <w:pPr>
              <w:pStyle w:val="TableContents"/>
              <w:bidi w:val="0"/>
              <w:spacing w:before="0" w:after="0"/>
              <w:ind w:left="0" w:right="0" w:hanging="0"/>
              <w:jc w:val="both"/>
              <w:rPr/>
            </w:pPr>
            <w:r>
              <w:rPr/>
              <w:t> </w:t>
            </w:r>
          </w:p>
        </w:tc>
      </w:tr>
      <w:tr>
        <w:trPr/>
        <w:tc>
          <w:tcPr>
            <w:tcW w:w="186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Date:      </w:t>
            </w:r>
            <w:r>
              <w:rPr>
                <w:rFonts w:ascii="Times New Roman;Times;serif" w:hAnsi="Times New Roman;Times;serif"/>
                <w:sz w:val="20"/>
                <w:shd w:fill="FFFFFF" w:val="clear"/>
              </w:rPr>
              <w:t>May 15, 2</w:t>
            </w:r>
            <w:r>
              <w:rPr>
                <w:rFonts w:ascii="Times New Roman;Times;serif" w:hAnsi="Times New Roman;Times;serif"/>
                <w:sz w:val="20"/>
              </w:rPr>
              <w:t>023</w:t>
            </w:r>
          </w:p>
        </w:tc>
        <w:tc>
          <w:tcPr>
            <w:tcW w:w="32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38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Richard W. Pascoe</w:t>
            </w:r>
          </w:p>
        </w:tc>
      </w:tr>
      <w:tr>
        <w:trPr/>
        <w:tc>
          <w:tcPr>
            <w:tcW w:w="1865" w:type="dxa"/>
            <w:tcBorders/>
            <w:vAlign w:val="center"/>
          </w:tcPr>
          <w:p>
            <w:pPr>
              <w:pStyle w:val="TableContents"/>
              <w:bidi w:val="0"/>
              <w:spacing w:before="0" w:after="0"/>
              <w:ind w:left="0" w:right="0" w:hanging="0"/>
              <w:jc w:val="both"/>
              <w:rPr/>
            </w:pPr>
            <w:r>
              <w:rPr/>
              <w:t> </w:t>
            </w:r>
          </w:p>
        </w:tc>
        <w:tc>
          <w:tcPr>
            <w:tcW w:w="320" w:type="dxa"/>
            <w:tcBorders/>
            <w:vAlign w:val="center"/>
          </w:tcPr>
          <w:p>
            <w:pPr>
              <w:pStyle w:val="TableContents"/>
              <w:bidi w:val="0"/>
              <w:spacing w:before="0" w:after="0"/>
              <w:ind w:left="0" w:right="0" w:hanging="0"/>
              <w:jc w:val="both"/>
              <w:rPr/>
            </w:pPr>
            <w:r>
              <w:rPr/>
              <w:t> </w:t>
            </w:r>
          </w:p>
        </w:tc>
        <w:tc>
          <w:tcPr>
            <w:tcW w:w="38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Richard W. Pascoe</w:t>
            </w:r>
          </w:p>
        </w:tc>
      </w:tr>
      <w:tr>
        <w:trPr/>
        <w:tc>
          <w:tcPr>
            <w:tcW w:w="1865" w:type="dxa"/>
            <w:tcBorders/>
            <w:vAlign w:val="center"/>
          </w:tcPr>
          <w:p>
            <w:pPr>
              <w:pStyle w:val="TableContents"/>
              <w:bidi w:val="0"/>
              <w:spacing w:before="0" w:after="0"/>
              <w:ind w:left="0" w:right="0" w:hanging="0"/>
              <w:jc w:val="both"/>
              <w:rPr/>
            </w:pPr>
            <w:r>
              <w:rPr/>
              <w:t> </w:t>
            </w:r>
          </w:p>
        </w:tc>
        <w:tc>
          <w:tcPr>
            <w:tcW w:w="320" w:type="dxa"/>
            <w:tcBorders/>
            <w:vAlign w:val="center"/>
          </w:tcPr>
          <w:p>
            <w:pPr>
              <w:pStyle w:val="TableContents"/>
              <w:bidi w:val="0"/>
              <w:spacing w:before="0" w:after="0"/>
              <w:ind w:left="0" w:right="0" w:hanging="0"/>
              <w:jc w:val="both"/>
              <w:rPr/>
            </w:pPr>
            <w:r>
              <w:rPr/>
              <w:t> </w:t>
            </w:r>
          </w:p>
        </w:tc>
        <w:tc>
          <w:tcPr>
            <w:tcW w:w="38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Executive Officer</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(Principal Executive Officer)</w:t>
            </w:r>
          </w:p>
        </w:tc>
      </w:tr>
      <w:tr>
        <w:trPr/>
        <w:tc>
          <w:tcPr>
            <w:tcW w:w="1865" w:type="dxa"/>
            <w:tcBorders/>
            <w:vAlign w:val="center"/>
          </w:tcPr>
          <w:p>
            <w:pPr>
              <w:pStyle w:val="TableContents"/>
              <w:bidi w:val="0"/>
              <w:spacing w:before="0" w:after="0"/>
              <w:ind w:left="0" w:right="0" w:hanging="0"/>
              <w:jc w:val="both"/>
              <w:rPr/>
            </w:pPr>
            <w:r>
              <w:rPr/>
              <w:t> </w:t>
            </w:r>
          </w:p>
        </w:tc>
        <w:tc>
          <w:tcPr>
            <w:tcW w:w="320" w:type="dxa"/>
            <w:tcBorders/>
            <w:vAlign w:val="center"/>
          </w:tcPr>
          <w:p>
            <w:pPr>
              <w:pStyle w:val="TableContents"/>
              <w:bidi w:val="0"/>
              <w:spacing w:before="0" w:after="0"/>
              <w:ind w:left="0" w:right="0" w:hanging="0"/>
              <w:jc w:val="both"/>
              <w:rPr/>
            </w:pPr>
            <w:r>
              <w:rPr/>
              <w:t> </w:t>
            </w:r>
          </w:p>
        </w:tc>
        <w:tc>
          <w:tcPr>
            <w:tcW w:w="3860" w:type="dxa"/>
            <w:tcBorders/>
            <w:vAlign w:val="center"/>
          </w:tcPr>
          <w:p>
            <w:pPr>
              <w:pStyle w:val="TableContents"/>
              <w:bidi w:val="0"/>
              <w:spacing w:before="0" w:after="0"/>
              <w:ind w:left="0" w:right="0" w:hanging="0"/>
              <w:jc w:val="both"/>
              <w:rPr/>
            </w:pPr>
            <w:r>
              <w:rPr/>
              <w:t> </w:t>
            </w:r>
          </w:p>
        </w:tc>
      </w:tr>
      <w:tr>
        <w:trPr/>
        <w:tc>
          <w:tcPr>
            <w:tcW w:w="186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Ma</w:t>
            </w:r>
            <w:r>
              <w:rPr>
                <w:rFonts w:ascii="Times New Roman;Times;serif" w:hAnsi="Times New Roman;Times;serif"/>
                <w:sz w:val="20"/>
                <w:shd w:fill="FFFFFF" w:val="clear"/>
              </w:rPr>
              <w:t>y 15, 2</w:t>
            </w:r>
            <w:r>
              <w:rPr>
                <w:rFonts w:ascii="Times New Roman;Times;serif" w:hAnsi="Times New Roman;Times;serif"/>
                <w:sz w:val="20"/>
              </w:rPr>
              <w:t>023</w:t>
            </w:r>
          </w:p>
        </w:tc>
        <w:tc>
          <w:tcPr>
            <w:tcW w:w="32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38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R. LaDuane Clifton</w:t>
            </w:r>
          </w:p>
        </w:tc>
      </w:tr>
      <w:tr>
        <w:trPr/>
        <w:tc>
          <w:tcPr>
            <w:tcW w:w="1865" w:type="dxa"/>
            <w:tcBorders/>
            <w:vAlign w:val="center"/>
          </w:tcPr>
          <w:p>
            <w:pPr>
              <w:pStyle w:val="TableContents"/>
              <w:bidi w:val="0"/>
              <w:spacing w:before="0" w:after="0"/>
              <w:ind w:left="0" w:right="0" w:hanging="0"/>
              <w:jc w:val="both"/>
              <w:rPr/>
            </w:pPr>
            <w:r>
              <w:rPr/>
              <w:t> </w:t>
            </w:r>
          </w:p>
        </w:tc>
        <w:tc>
          <w:tcPr>
            <w:tcW w:w="320" w:type="dxa"/>
            <w:tcBorders/>
            <w:vAlign w:val="center"/>
          </w:tcPr>
          <w:p>
            <w:pPr>
              <w:pStyle w:val="TableContents"/>
              <w:bidi w:val="0"/>
              <w:spacing w:before="0" w:after="0"/>
              <w:ind w:left="0" w:right="0" w:hanging="0"/>
              <w:jc w:val="both"/>
              <w:rPr/>
            </w:pPr>
            <w:r>
              <w:rPr/>
              <w:t> </w:t>
            </w:r>
          </w:p>
        </w:tc>
        <w:tc>
          <w:tcPr>
            <w:tcW w:w="38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 LaDuane Clifton, CPA</w:t>
            </w:r>
          </w:p>
        </w:tc>
      </w:tr>
      <w:tr>
        <w:trPr/>
        <w:tc>
          <w:tcPr>
            <w:tcW w:w="1865" w:type="dxa"/>
            <w:tcBorders/>
            <w:vAlign w:val="center"/>
          </w:tcPr>
          <w:p>
            <w:pPr>
              <w:pStyle w:val="TableContents"/>
              <w:bidi w:val="0"/>
              <w:spacing w:before="0" w:after="0"/>
              <w:ind w:left="0" w:right="0" w:hanging="0"/>
              <w:jc w:val="both"/>
              <w:rPr/>
            </w:pPr>
            <w:r>
              <w:rPr/>
              <w:t> </w:t>
            </w:r>
          </w:p>
        </w:tc>
        <w:tc>
          <w:tcPr>
            <w:tcW w:w="320" w:type="dxa"/>
            <w:tcBorders/>
            <w:vAlign w:val="center"/>
          </w:tcPr>
          <w:p>
            <w:pPr>
              <w:pStyle w:val="TableContents"/>
              <w:bidi w:val="0"/>
              <w:spacing w:before="0" w:after="0"/>
              <w:ind w:left="0" w:right="0" w:hanging="0"/>
              <w:jc w:val="both"/>
              <w:rPr/>
            </w:pPr>
            <w:r>
              <w:rPr/>
              <w:t> </w:t>
            </w:r>
          </w:p>
        </w:tc>
        <w:tc>
          <w:tcPr>
            <w:tcW w:w="38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Financial Officer, Secretary and Treasurer</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283"/>
        <w:jc w:val="left"/>
        <w:rPr/>
      </w:pPr>
      <w:r>
        <w:rPr/>
        <w:t> </w:t>
      </w:r>
    </w:p>
    <w:p>
      <w:pPr>
        <w:pStyle w:val="TextBody"/>
        <w:bidi w:val="0"/>
        <w:ind w:left="0" w:right="0" w:hanging="0"/>
        <w:jc w:val="center"/>
        <w:rPr>
          <w:rFonts w:ascii="Times New Roman" w:hAnsi="Times New Roman"/>
          <w:sz w:val="20"/>
        </w:rPr>
      </w:pPr>
      <w:r>
        <w:rPr>
          <w:rFonts w:ascii="Times New Roman" w:hAnsi="Times New Roman"/>
          <w:sz w:val="20"/>
        </w:rPr>
        <w:t xml:space="preserve">38 </w:t>
      </w:r>
    </w:p>
    <w:p>
      <w:pPr>
        <w:pStyle w:val="TextBody"/>
        <w:bidi w:val="0"/>
        <w:spacing w:before="0" w:after="0"/>
        <w:ind w:left="0" w:right="0" w:hanging="0"/>
        <w:jc w:val="right"/>
        <w:rPr>
          <w:rFonts w:ascii="Times New Roman;Times;serif" w:hAnsi="Times New Roman;Times;serif"/>
          <w:caps/>
          <w:sz w:val="20"/>
        </w:rPr>
      </w:pPr>
      <w:bookmarkStart w:id="21" w:name="ex_485756.htm"/>
      <w:bookmarkStart w:id="22" w:name="ksex_485756"/>
      <w:bookmarkEnd w:id="21"/>
      <w:bookmarkEnd w:id="22"/>
      <w:r>
        <w:rPr>
          <w:rFonts w:ascii="Times New Roman;Times;serif" w:hAnsi="Times New Roman;Times;serif"/>
          <w:b/>
          <w:caps/>
          <w:sz w:val="20"/>
        </w:rPr>
        <w:t>Exhibit</w:t>
      </w:r>
      <w:r>
        <w:rPr>
          <w:rFonts w:ascii="Times New Roman;Times;serif" w:hAnsi="Times New Roman;Times;serif"/>
          <w:caps/>
          <w:sz w:val="20"/>
        </w:rPr>
        <w:t xml:space="preserve"> </w:t>
      </w:r>
      <w:r>
        <w:rPr>
          <w:rFonts w:ascii="Times New Roman;Times;serif" w:hAnsi="Times New Roman;Times;serif"/>
          <w:b/>
          <w:caps/>
          <w:sz w:val="20"/>
        </w:rPr>
        <w:t>31.1</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Richard W. Pascoe, certify that:</w:t>
      </w:r>
    </w:p>
    <w:p>
      <w:pPr>
        <w:pStyle w:val="TextBody"/>
        <w:bidi w:val="0"/>
        <w:spacing w:before="0" w:after="0"/>
        <w:ind w:left="0" w:right="0" w:hanging="0"/>
        <w:jc w:val="left"/>
        <w:rPr/>
      </w:pPr>
      <w:r>
        <w:rPr/>
        <w:t> </w:t>
      </w:r>
    </w:p>
    <w:p>
      <w:pPr>
        <w:pStyle w:val="Normal"/>
        <w:bidi w:val="0"/>
        <w:spacing w:before="0" w:after="0"/>
        <w:jc w:val="left"/>
        <w:rPr>
          <w:sz w:val="4"/>
          <w:szCs w:val="4"/>
        </w:rPr>
      </w:pPr>
      <w:r>
        <w:rPr>
          <w:sz w:val="4"/>
          <w:szCs w:val="4"/>
        </w:rPr>
      </w:r>
      <w:bookmarkStart w:id="23" w:name="MTAB1"/>
      <w:bookmarkStart w:id="24" w:name="MTAB1"/>
      <w:bookmarkEnd w:id="24"/>
    </w:p>
    <w:tbl>
      <w:tblPr>
        <w:tblW w:w="6715" w:type="dxa"/>
        <w:jc w:val="left"/>
        <w:tblInd w:w="0" w:type="dxa"/>
        <w:tblLayout w:type="fixed"/>
        <w:tblCellMar>
          <w:top w:w="0" w:type="dxa"/>
          <w:left w:w="0" w:type="dxa"/>
          <w:bottom w:w="0" w:type="dxa"/>
          <w:right w:w="0" w:type="dxa"/>
        </w:tblCellMar>
      </w:tblPr>
      <w:tblGrid>
        <w:gridCol w:w="60"/>
        <w:gridCol w:w="170"/>
        <w:gridCol w:w="64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64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have reviewed this Quarterly Report on Form 10-Q of Zevra Therapeutics, Inc.;</w:t>
            </w:r>
          </w:p>
        </w:tc>
      </w:tr>
    </w:tbl>
    <w:p>
      <w:pPr>
        <w:pStyle w:val="Normal"/>
        <w:bidi w:val="0"/>
        <w:spacing w:before="0" w:after="0"/>
        <w:jc w:val="left"/>
        <w:rPr>
          <w:sz w:val="4"/>
          <w:szCs w:val="4"/>
        </w:rPr>
      </w:pPr>
      <w:r>
        <w:rPr>
          <w:sz w:val="4"/>
          <w:szCs w:val="4"/>
        </w:rPr>
      </w:r>
      <w:bookmarkStart w:id="25" w:name="MTAB2"/>
      <w:bookmarkStart w:id="26" w:name="MTAB2"/>
      <w:bookmarkEnd w:id="26"/>
    </w:p>
    <w:tbl>
      <w:tblPr>
        <w:tblW w:w="10205" w:type="dxa"/>
        <w:jc w:val="left"/>
        <w:tblInd w:w="0" w:type="dxa"/>
        <w:tblLayout w:type="fixed"/>
        <w:tblCellMar>
          <w:top w:w="0" w:type="dxa"/>
          <w:left w:w="0" w:type="dxa"/>
          <w:bottom w:w="0" w:type="dxa"/>
          <w:right w:w="0" w:type="dxa"/>
        </w:tblCellMar>
      </w:tblPr>
      <w:tblGrid>
        <w:gridCol w:w="60"/>
        <w:gridCol w:w="142"/>
        <w:gridCol w:w="10003"/>
      </w:tblGrid>
      <w:tr>
        <w:trPr/>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1000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Normal"/>
        <w:bidi w:val="0"/>
        <w:spacing w:before="0" w:after="0"/>
        <w:jc w:val="left"/>
        <w:rPr>
          <w:sz w:val="4"/>
          <w:szCs w:val="4"/>
        </w:rPr>
      </w:pPr>
      <w:r>
        <w:rPr>
          <w:sz w:val="4"/>
          <w:szCs w:val="4"/>
        </w:rPr>
      </w:r>
      <w:bookmarkStart w:id="27" w:name="MTAB3"/>
      <w:bookmarkStart w:id="28" w:name="MTAB3"/>
      <w:bookmarkEnd w:id="28"/>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w:t>
            </w:r>
          </w:p>
        </w:tc>
        <w:tc>
          <w:tcPr>
            <w:tcW w:w="100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Normal"/>
        <w:bidi w:val="0"/>
        <w:spacing w:before="0" w:after="0"/>
        <w:jc w:val="left"/>
        <w:rPr>
          <w:sz w:val="4"/>
          <w:szCs w:val="4"/>
        </w:rPr>
      </w:pPr>
      <w:r>
        <w:rPr>
          <w:sz w:val="4"/>
          <w:szCs w:val="4"/>
        </w:rPr>
      </w:r>
      <w:bookmarkStart w:id="29" w:name="MTAB4"/>
      <w:bookmarkStart w:id="30" w:name="MTAB4"/>
      <w:bookmarkEnd w:id="30"/>
    </w:p>
    <w:tbl>
      <w:tblPr>
        <w:tblW w:w="10205" w:type="dxa"/>
        <w:jc w:val="left"/>
        <w:tblInd w:w="0" w:type="dxa"/>
        <w:tblLayout w:type="fixed"/>
        <w:tblCellMar>
          <w:top w:w="0" w:type="dxa"/>
          <w:left w:w="0" w:type="dxa"/>
          <w:bottom w:w="0" w:type="dxa"/>
          <w:right w:w="0" w:type="dxa"/>
        </w:tblCellMar>
      </w:tblPr>
      <w:tblGrid>
        <w:gridCol w:w="60"/>
        <w:gridCol w:w="141"/>
        <w:gridCol w:w="10004"/>
      </w:tblGrid>
      <w:tr>
        <w:trPr/>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w:t>
            </w:r>
          </w:p>
        </w:tc>
        <w:tc>
          <w:tcPr>
            <w:tcW w:w="1000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Normal"/>
        <w:bidi w:val="0"/>
        <w:spacing w:before="0" w:after="0"/>
        <w:jc w:val="left"/>
        <w:rPr>
          <w:sz w:val="4"/>
          <w:szCs w:val="4"/>
        </w:rPr>
      </w:pPr>
      <w:r>
        <w:rPr>
          <w:sz w:val="4"/>
          <w:szCs w:val="4"/>
        </w:rPr>
      </w:r>
      <w:bookmarkStart w:id="31" w:name="MTAB5"/>
      <w:bookmarkStart w:id="32" w:name="MTAB5"/>
      <w:bookmarkEnd w:id="32"/>
    </w:p>
    <w:tbl>
      <w:tblPr>
        <w:tblW w:w="10205" w:type="dxa"/>
        <w:jc w:val="left"/>
        <w:tblInd w:w="0" w:type="dxa"/>
        <w:tblLayout w:type="fixed"/>
        <w:tblCellMar>
          <w:top w:w="0" w:type="dxa"/>
          <w:left w:w="0" w:type="dxa"/>
          <w:bottom w:w="0" w:type="dxa"/>
          <w:right w:w="0" w:type="dxa"/>
        </w:tblCellMar>
      </w:tblPr>
      <w:tblGrid>
        <w:gridCol w:w="60"/>
        <w:gridCol w:w="235"/>
        <w:gridCol w:w="9910"/>
      </w:tblGrid>
      <w:tr>
        <w:trPr/>
        <w:tc>
          <w:tcPr>
            <w:tcW w:w="6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99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6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(b)</w:t>
            </w:r>
          </w:p>
        </w:tc>
        <w:tc>
          <w:tcPr>
            <w:tcW w:w="9910"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Times;serif" w:hAnsi="Times New Roman;Times;serif"/>
                <w:sz w:val="20"/>
              </w:rPr>
              <w:t>;</w:t>
            </w:r>
          </w:p>
        </w:tc>
      </w:tr>
    </w:tbl>
    <w:p>
      <w:pPr>
        <w:pStyle w:val="Normal"/>
        <w:bidi w:val="0"/>
        <w:spacing w:before="0" w:after="0"/>
        <w:jc w:val="left"/>
        <w:rPr>
          <w:sz w:val="4"/>
          <w:szCs w:val="4"/>
        </w:rPr>
      </w:pPr>
      <w:r>
        <w:rPr>
          <w:sz w:val="4"/>
          <w:szCs w:val="4"/>
        </w:rPr>
      </w:r>
      <w:bookmarkStart w:id="33" w:name="MTAB6"/>
      <w:bookmarkStart w:id="34" w:name="MTAB6"/>
      <w:bookmarkEnd w:id="34"/>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w:t>
            </w:r>
          </w:p>
        </w:tc>
        <w:tc>
          <w:tcPr>
            <w:tcW w:w="995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Normal"/>
        <w:bidi w:val="0"/>
        <w:spacing w:before="0" w:after="0"/>
        <w:jc w:val="left"/>
        <w:rPr>
          <w:sz w:val="4"/>
          <w:szCs w:val="4"/>
        </w:rPr>
      </w:pPr>
      <w:r>
        <w:rPr>
          <w:sz w:val="4"/>
          <w:szCs w:val="4"/>
        </w:rPr>
      </w:r>
      <w:bookmarkStart w:id="35" w:name="MTAB7"/>
      <w:bookmarkStart w:id="36" w:name="MTAB7"/>
      <w:bookmarkEnd w:id="36"/>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w:t>
            </w:r>
          </w:p>
        </w:tc>
        <w:tc>
          <w:tcPr>
            <w:tcW w:w="99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Normal"/>
        <w:bidi w:val="0"/>
        <w:spacing w:before="0" w:after="0"/>
        <w:jc w:val="left"/>
        <w:rPr>
          <w:sz w:val="4"/>
          <w:szCs w:val="4"/>
        </w:rPr>
      </w:pPr>
      <w:r>
        <w:rPr>
          <w:sz w:val="4"/>
          <w:szCs w:val="4"/>
        </w:rPr>
      </w:r>
      <w:bookmarkStart w:id="37" w:name="MTAB8"/>
      <w:bookmarkStart w:id="38" w:name="MTAB8"/>
      <w:bookmarkEnd w:id="38"/>
    </w:p>
    <w:tbl>
      <w:tblPr>
        <w:tblW w:w="10205" w:type="dxa"/>
        <w:jc w:val="left"/>
        <w:tblInd w:w="0" w:type="dxa"/>
        <w:tblLayout w:type="fixed"/>
        <w:tblCellMar>
          <w:top w:w="0" w:type="dxa"/>
          <w:left w:w="0" w:type="dxa"/>
          <w:bottom w:w="0" w:type="dxa"/>
          <w:right w:w="0" w:type="dxa"/>
        </w:tblCellMar>
      </w:tblPr>
      <w:tblGrid>
        <w:gridCol w:w="60"/>
        <w:gridCol w:w="143"/>
        <w:gridCol w:w="10002"/>
      </w:tblGrid>
      <w:tr>
        <w:trPr/>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5.</w:t>
            </w:r>
          </w:p>
        </w:tc>
        <w:tc>
          <w:tcPr>
            <w:tcW w:w="1000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Normal"/>
        <w:bidi w:val="0"/>
        <w:spacing w:before="0" w:after="0"/>
        <w:jc w:val="left"/>
        <w:rPr>
          <w:sz w:val="4"/>
          <w:szCs w:val="4"/>
        </w:rPr>
      </w:pPr>
      <w:r>
        <w:rPr>
          <w:sz w:val="4"/>
          <w:szCs w:val="4"/>
        </w:rPr>
      </w:r>
      <w:bookmarkStart w:id="39" w:name="MTAB9"/>
      <w:bookmarkStart w:id="40" w:name="MTAB9"/>
      <w:bookmarkEnd w:id="40"/>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994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Normal"/>
        <w:bidi w:val="0"/>
        <w:spacing w:before="0" w:after="0"/>
        <w:jc w:val="left"/>
        <w:rPr>
          <w:sz w:val="4"/>
          <w:szCs w:val="4"/>
        </w:rPr>
      </w:pPr>
      <w:r>
        <w:rPr>
          <w:sz w:val="4"/>
          <w:szCs w:val="4"/>
        </w:rPr>
      </w:r>
      <w:bookmarkStart w:id="41" w:name="MTAB10"/>
      <w:bookmarkStart w:id="42" w:name="MTAB10"/>
      <w:bookmarkEnd w:id="42"/>
    </w:p>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991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 </w:t>
      </w:r>
    </w:p>
    <w:p>
      <w:pPr>
        <w:pStyle w:val="Normal"/>
        <w:bidi w:val="0"/>
        <w:spacing w:before="0" w:after="0"/>
        <w:jc w:val="left"/>
        <w:rPr>
          <w:sz w:val="4"/>
          <w:szCs w:val="4"/>
        </w:rPr>
      </w:pPr>
      <w:r>
        <w:rPr>
          <w:sz w:val="4"/>
          <w:szCs w:val="4"/>
        </w:rPr>
      </w:r>
      <w:bookmarkStart w:id="43" w:name="TBL11"/>
      <w:bookmarkStart w:id="44" w:name="TBL11"/>
      <w:bookmarkEnd w:id="44"/>
    </w:p>
    <w:tbl>
      <w:tblPr>
        <w:tblW w:w="4305" w:type="dxa"/>
        <w:jc w:val="left"/>
        <w:tblInd w:w="0" w:type="dxa"/>
        <w:tblLayout w:type="fixed"/>
        <w:tblCellMar>
          <w:top w:w="0" w:type="dxa"/>
          <w:left w:w="0" w:type="dxa"/>
          <w:bottom w:w="0" w:type="dxa"/>
          <w:right w:w="0" w:type="dxa"/>
        </w:tblCellMar>
      </w:tblPr>
      <w:tblGrid>
        <w:gridCol w:w="1355"/>
        <w:gridCol w:w="60"/>
        <w:gridCol w:w="545"/>
        <w:gridCol w:w="2345"/>
      </w:tblGrid>
      <w:tr>
        <w:trPr/>
        <w:tc>
          <w:tcPr>
            <w:tcW w:w="1355" w:type="dxa"/>
            <w:tcBorders/>
            <w:vAlign w:val="center"/>
          </w:tcPr>
          <w:p>
            <w:pPr>
              <w:pStyle w:val="TableContents"/>
              <w:bidi w:val="0"/>
              <w:spacing w:before="0" w:after="283"/>
              <w:jc w:val="left"/>
              <w:rPr/>
            </w:pPr>
            <w:r>
              <w:rPr/>
              <w:t>May</w:t>
            </w:r>
            <w:r>
              <w:rPr>
                <w:shd w:fill="FFFFFF" w:val="clear"/>
              </w:rPr>
              <w:t xml:space="preserve"> 15, 20</w:t>
            </w:r>
            <w:r>
              <w:rPr/>
              <w:t>23</w:t>
            </w:r>
          </w:p>
        </w:tc>
        <w:tc>
          <w:tcPr>
            <w:tcW w:w="60" w:type="dxa"/>
            <w:tcBorders/>
            <w:vAlign w:val="center"/>
          </w:tcPr>
          <w:p>
            <w:pPr>
              <w:pStyle w:val="TableContents"/>
              <w:bidi w:val="0"/>
              <w:spacing w:before="0" w:after="283"/>
              <w:jc w:val="left"/>
              <w:rPr/>
            </w:pPr>
            <w:r>
              <w:rPr/>
              <w:t> </w:t>
            </w:r>
          </w:p>
        </w:tc>
        <w:tc>
          <w:tcPr>
            <w:tcW w:w="2890" w:type="dxa"/>
            <w:gridSpan w:val="2"/>
            <w:tcBorders/>
            <w:vAlign w:val="center"/>
          </w:tcPr>
          <w:p>
            <w:pPr>
              <w:pStyle w:val="TableContents"/>
              <w:bidi w:val="0"/>
              <w:spacing w:before="0" w:after="283"/>
              <w:jc w:val="left"/>
              <w:rPr/>
            </w:pPr>
            <w:r>
              <w:rPr/>
              <w:t>/s/ Richard W. Pascoe</w:t>
            </w:r>
          </w:p>
        </w:tc>
      </w:tr>
      <w:tr>
        <w:trPr/>
        <w:tc>
          <w:tcPr>
            <w:tcW w:w="1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Name:</w:t>
            </w:r>
          </w:p>
        </w:tc>
        <w:tc>
          <w:tcPr>
            <w:tcW w:w="23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Richard W. Pascoe</w:t>
            </w:r>
          </w:p>
        </w:tc>
      </w:tr>
      <w:tr>
        <w:trPr/>
        <w:tc>
          <w:tcPr>
            <w:tcW w:w="1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Title:</w:t>
            </w:r>
          </w:p>
        </w:tc>
        <w:tc>
          <w:tcPr>
            <w:tcW w:w="23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Executive Officer</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caps/>
          <w:sz w:val="20"/>
        </w:rPr>
      </w:pPr>
      <w:bookmarkStart w:id="45" w:name="ex_485757.htm"/>
      <w:bookmarkStart w:id="46" w:name="ksex_485757"/>
      <w:bookmarkEnd w:id="45"/>
      <w:bookmarkEnd w:id="46"/>
      <w:r>
        <w:rPr>
          <w:rFonts w:ascii="Times New Roman;Times;serif" w:hAnsi="Times New Roman;Times;serif"/>
          <w:b/>
          <w:caps/>
          <w:sz w:val="20"/>
        </w:rPr>
        <w:t>Exhibit</w:t>
      </w:r>
      <w:r>
        <w:rPr>
          <w:rFonts w:ascii="Times New Roman;Times;serif" w:hAnsi="Times New Roman;Times;serif"/>
          <w:caps/>
          <w:sz w:val="20"/>
        </w:rPr>
        <w:t xml:space="preserve"> </w:t>
      </w:r>
      <w:r>
        <w:rPr>
          <w:rFonts w:ascii="Times New Roman;Times;serif" w:hAnsi="Times New Roman;Times;serif"/>
          <w:b/>
          <w:caps/>
          <w:sz w:val="20"/>
        </w:rPr>
        <w:t>31.2</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R. LaDuane Clifton, certify that:</w:t>
      </w:r>
    </w:p>
    <w:p>
      <w:pPr>
        <w:pStyle w:val="TextBody"/>
        <w:bidi w:val="0"/>
        <w:spacing w:before="0" w:after="0"/>
        <w:ind w:left="0" w:right="0" w:hanging="0"/>
        <w:jc w:val="left"/>
        <w:rPr/>
      </w:pPr>
      <w:r>
        <w:rPr/>
        <w:t> </w:t>
      </w:r>
    </w:p>
    <w:p>
      <w:pPr>
        <w:pStyle w:val="Normal"/>
        <w:bidi w:val="0"/>
        <w:spacing w:before="0" w:after="0"/>
        <w:jc w:val="left"/>
        <w:rPr>
          <w:sz w:val="4"/>
          <w:szCs w:val="4"/>
        </w:rPr>
      </w:pPr>
      <w:r>
        <w:rPr>
          <w:sz w:val="4"/>
          <w:szCs w:val="4"/>
        </w:rPr>
      </w:r>
      <w:bookmarkStart w:id="47" w:name="MTAB11"/>
      <w:bookmarkStart w:id="48" w:name="MTAB11"/>
      <w:bookmarkEnd w:id="48"/>
    </w:p>
    <w:tbl>
      <w:tblPr>
        <w:tblW w:w="6715" w:type="dxa"/>
        <w:jc w:val="left"/>
        <w:tblInd w:w="0" w:type="dxa"/>
        <w:tblLayout w:type="fixed"/>
        <w:tblCellMar>
          <w:top w:w="0" w:type="dxa"/>
          <w:left w:w="0" w:type="dxa"/>
          <w:bottom w:w="0" w:type="dxa"/>
          <w:right w:w="0" w:type="dxa"/>
        </w:tblCellMar>
      </w:tblPr>
      <w:tblGrid>
        <w:gridCol w:w="60"/>
        <w:gridCol w:w="170"/>
        <w:gridCol w:w="64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64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have reviewed this Quarterly Report on Form 10-Q of Zevra Therapeutics, Inc.;</w:t>
            </w:r>
          </w:p>
        </w:tc>
      </w:tr>
    </w:tbl>
    <w:p>
      <w:pPr>
        <w:pStyle w:val="Normal"/>
        <w:bidi w:val="0"/>
        <w:spacing w:before="0" w:after="0"/>
        <w:jc w:val="left"/>
        <w:rPr>
          <w:sz w:val="4"/>
          <w:szCs w:val="4"/>
        </w:rPr>
      </w:pPr>
      <w:r>
        <w:rPr>
          <w:sz w:val="4"/>
          <w:szCs w:val="4"/>
        </w:rPr>
      </w:r>
      <w:bookmarkStart w:id="49" w:name="MTAB21"/>
      <w:bookmarkStart w:id="50" w:name="MTAB21"/>
      <w:bookmarkEnd w:id="50"/>
    </w:p>
    <w:tbl>
      <w:tblPr>
        <w:tblW w:w="10205" w:type="dxa"/>
        <w:jc w:val="left"/>
        <w:tblInd w:w="0" w:type="dxa"/>
        <w:tblLayout w:type="fixed"/>
        <w:tblCellMar>
          <w:top w:w="0" w:type="dxa"/>
          <w:left w:w="0" w:type="dxa"/>
          <w:bottom w:w="0" w:type="dxa"/>
          <w:right w:w="0" w:type="dxa"/>
        </w:tblCellMar>
      </w:tblPr>
      <w:tblGrid>
        <w:gridCol w:w="60"/>
        <w:gridCol w:w="142"/>
        <w:gridCol w:w="10003"/>
      </w:tblGrid>
      <w:tr>
        <w:trPr/>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1000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Normal"/>
        <w:bidi w:val="0"/>
        <w:spacing w:before="0" w:after="0"/>
        <w:jc w:val="left"/>
        <w:rPr>
          <w:sz w:val="4"/>
          <w:szCs w:val="4"/>
        </w:rPr>
      </w:pPr>
      <w:r>
        <w:rPr>
          <w:sz w:val="4"/>
          <w:szCs w:val="4"/>
        </w:rPr>
      </w:r>
      <w:bookmarkStart w:id="51" w:name="MTAB31"/>
      <w:bookmarkStart w:id="52" w:name="MTAB31"/>
      <w:bookmarkEnd w:id="52"/>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w:t>
            </w:r>
          </w:p>
        </w:tc>
        <w:tc>
          <w:tcPr>
            <w:tcW w:w="100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Normal"/>
        <w:bidi w:val="0"/>
        <w:spacing w:before="0" w:after="0"/>
        <w:jc w:val="left"/>
        <w:rPr>
          <w:sz w:val="4"/>
          <w:szCs w:val="4"/>
        </w:rPr>
      </w:pPr>
      <w:r>
        <w:rPr>
          <w:sz w:val="4"/>
          <w:szCs w:val="4"/>
        </w:rPr>
      </w:r>
      <w:bookmarkStart w:id="53" w:name="MTAB41"/>
      <w:bookmarkStart w:id="54" w:name="MTAB41"/>
      <w:bookmarkEnd w:id="54"/>
    </w:p>
    <w:tbl>
      <w:tblPr>
        <w:tblW w:w="10205" w:type="dxa"/>
        <w:jc w:val="left"/>
        <w:tblInd w:w="0" w:type="dxa"/>
        <w:tblLayout w:type="fixed"/>
        <w:tblCellMar>
          <w:top w:w="0" w:type="dxa"/>
          <w:left w:w="0" w:type="dxa"/>
          <w:bottom w:w="0" w:type="dxa"/>
          <w:right w:w="0" w:type="dxa"/>
        </w:tblCellMar>
      </w:tblPr>
      <w:tblGrid>
        <w:gridCol w:w="60"/>
        <w:gridCol w:w="141"/>
        <w:gridCol w:w="10004"/>
      </w:tblGrid>
      <w:tr>
        <w:trPr/>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w:t>
            </w:r>
          </w:p>
        </w:tc>
        <w:tc>
          <w:tcPr>
            <w:tcW w:w="1000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Normal"/>
        <w:bidi w:val="0"/>
        <w:spacing w:before="0" w:after="0"/>
        <w:jc w:val="left"/>
        <w:rPr>
          <w:sz w:val="4"/>
          <w:szCs w:val="4"/>
        </w:rPr>
      </w:pPr>
      <w:r>
        <w:rPr>
          <w:sz w:val="4"/>
          <w:szCs w:val="4"/>
        </w:rPr>
      </w:r>
      <w:bookmarkStart w:id="55" w:name="MTAB51"/>
      <w:bookmarkStart w:id="56" w:name="MTAB51"/>
      <w:bookmarkEnd w:id="56"/>
    </w:p>
    <w:tbl>
      <w:tblPr>
        <w:tblW w:w="10205" w:type="dxa"/>
        <w:jc w:val="left"/>
        <w:tblInd w:w="0" w:type="dxa"/>
        <w:tblLayout w:type="fixed"/>
        <w:tblCellMar>
          <w:top w:w="0" w:type="dxa"/>
          <w:left w:w="0" w:type="dxa"/>
          <w:bottom w:w="0" w:type="dxa"/>
          <w:right w:w="0" w:type="dxa"/>
        </w:tblCellMar>
      </w:tblPr>
      <w:tblGrid>
        <w:gridCol w:w="60"/>
        <w:gridCol w:w="235"/>
        <w:gridCol w:w="9910"/>
      </w:tblGrid>
      <w:tr>
        <w:trPr/>
        <w:tc>
          <w:tcPr>
            <w:tcW w:w="6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99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6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(b)</w:t>
            </w:r>
          </w:p>
        </w:tc>
        <w:tc>
          <w:tcPr>
            <w:tcW w:w="9910"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Times;serif" w:hAnsi="Times New Roman;Times;serif"/>
                <w:sz w:val="20"/>
              </w:rPr>
              <w:t>;</w:t>
            </w:r>
          </w:p>
        </w:tc>
      </w:tr>
    </w:tbl>
    <w:p>
      <w:pPr>
        <w:pStyle w:val="Normal"/>
        <w:bidi w:val="0"/>
        <w:spacing w:before="0" w:after="0"/>
        <w:jc w:val="left"/>
        <w:rPr>
          <w:sz w:val="4"/>
          <w:szCs w:val="4"/>
        </w:rPr>
      </w:pPr>
      <w:r>
        <w:rPr>
          <w:sz w:val="4"/>
          <w:szCs w:val="4"/>
        </w:rPr>
      </w:r>
      <w:bookmarkStart w:id="57" w:name="MTAB61"/>
      <w:bookmarkStart w:id="58" w:name="MTAB61"/>
      <w:bookmarkEnd w:id="58"/>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w:t>
            </w:r>
          </w:p>
        </w:tc>
        <w:tc>
          <w:tcPr>
            <w:tcW w:w="995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Normal"/>
        <w:bidi w:val="0"/>
        <w:spacing w:before="0" w:after="0"/>
        <w:jc w:val="left"/>
        <w:rPr>
          <w:sz w:val="4"/>
          <w:szCs w:val="4"/>
        </w:rPr>
      </w:pPr>
      <w:r>
        <w:rPr>
          <w:sz w:val="4"/>
          <w:szCs w:val="4"/>
        </w:rPr>
      </w:r>
      <w:bookmarkStart w:id="59" w:name="MTAB71"/>
      <w:bookmarkStart w:id="60" w:name="MTAB71"/>
      <w:bookmarkEnd w:id="60"/>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w:t>
            </w:r>
          </w:p>
        </w:tc>
        <w:tc>
          <w:tcPr>
            <w:tcW w:w="99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Normal"/>
        <w:bidi w:val="0"/>
        <w:spacing w:before="0" w:after="0"/>
        <w:jc w:val="left"/>
        <w:rPr>
          <w:sz w:val="4"/>
          <w:szCs w:val="4"/>
        </w:rPr>
      </w:pPr>
      <w:r>
        <w:rPr>
          <w:sz w:val="4"/>
          <w:szCs w:val="4"/>
        </w:rPr>
      </w:r>
      <w:bookmarkStart w:id="61" w:name="MTAB81"/>
      <w:bookmarkStart w:id="62" w:name="MTAB81"/>
      <w:bookmarkEnd w:id="62"/>
    </w:p>
    <w:tbl>
      <w:tblPr>
        <w:tblW w:w="10205" w:type="dxa"/>
        <w:jc w:val="left"/>
        <w:tblInd w:w="0" w:type="dxa"/>
        <w:tblLayout w:type="fixed"/>
        <w:tblCellMar>
          <w:top w:w="0" w:type="dxa"/>
          <w:left w:w="0" w:type="dxa"/>
          <w:bottom w:w="0" w:type="dxa"/>
          <w:right w:w="0" w:type="dxa"/>
        </w:tblCellMar>
      </w:tblPr>
      <w:tblGrid>
        <w:gridCol w:w="60"/>
        <w:gridCol w:w="143"/>
        <w:gridCol w:w="10002"/>
      </w:tblGrid>
      <w:tr>
        <w:trPr/>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5.</w:t>
            </w:r>
          </w:p>
        </w:tc>
        <w:tc>
          <w:tcPr>
            <w:tcW w:w="1000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Normal"/>
        <w:bidi w:val="0"/>
        <w:spacing w:before="0" w:after="0"/>
        <w:jc w:val="left"/>
        <w:rPr>
          <w:sz w:val="4"/>
          <w:szCs w:val="4"/>
        </w:rPr>
      </w:pPr>
      <w:r>
        <w:rPr>
          <w:sz w:val="4"/>
          <w:szCs w:val="4"/>
        </w:rPr>
      </w:r>
      <w:bookmarkStart w:id="63" w:name="MTAB91"/>
      <w:bookmarkStart w:id="64" w:name="MTAB91"/>
      <w:bookmarkEnd w:id="64"/>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994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Normal"/>
        <w:bidi w:val="0"/>
        <w:spacing w:before="0" w:after="0"/>
        <w:jc w:val="left"/>
        <w:rPr>
          <w:sz w:val="4"/>
          <w:szCs w:val="4"/>
        </w:rPr>
      </w:pPr>
      <w:r>
        <w:rPr>
          <w:sz w:val="4"/>
          <w:szCs w:val="4"/>
        </w:rPr>
      </w:r>
      <w:bookmarkStart w:id="65" w:name="MTAB101"/>
      <w:bookmarkStart w:id="66" w:name="MTAB101"/>
      <w:bookmarkEnd w:id="66"/>
    </w:p>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991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pPr>
      <w:r>
        <w:rPr/>
        <w:t> </w:t>
      </w:r>
    </w:p>
    <w:p>
      <w:pPr>
        <w:pStyle w:val="Normal"/>
        <w:bidi w:val="0"/>
        <w:spacing w:before="0" w:after="0"/>
        <w:jc w:val="left"/>
        <w:rPr>
          <w:sz w:val="4"/>
          <w:szCs w:val="4"/>
        </w:rPr>
      </w:pPr>
      <w:r>
        <w:rPr>
          <w:sz w:val="4"/>
          <w:szCs w:val="4"/>
        </w:rPr>
      </w:r>
      <w:bookmarkStart w:id="67" w:name="TBL111"/>
      <w:bookmarkStart w:id="68" w:name="TBL111"/>
      <w:bookmarkEnd w:id="68"/>
    </w:p>
    <w:tbl>
      <w:tblPr>
        <w:tblW w:w="5820" w:type="dxa"/>
        <w:jc w:val="left"/>
        <w:tblInd w:w="0" w:type="dxa"/>
        <w:tblLayout w:type="fixed"/>
        <w:tblCellMar>
          <w:top w:w="0" w:type="dxa"/>
          <w:left w:w="0" w:type="dxa"/>
          <w:bottom w:w="0" w:type="dxa"/>
          <w:right w:w="0" w:type="dxa"/>
        </w:tblCellMar>
      </w:tblPr>
      <w:tblGrid>
        <w:gridCol w:w="1355"/>
        <w:gridCol w:w="60"/>
        <w:gridCol w:w="545"/>
        <w:gridCol w:w="3860"/>
      </w:tblGrid>
      <w:tr>
        <w:trPr/>
        <w:tc>
          <w:tcPr>
            <w:tcW w:w="1355" w:type="dxa"/>
            <w:tcBorders/>
            <w:vAlign w:val="center"/>
          </w:tcPr>
          <w:p>
            <w:pPr>
              <w:pStyle w:val="TableContents"/>
              <w:bidi w:val="0"/>
              <w:spacing w:before="0" w:after="283"/>
              <w:jc w:val="left"/>
              <w:rPr/>
            </w:pPr>
            <w:r>
              <w:rPr/>
              <w:t>May</w:t>
            </w:r>
            <w:r>
              <w:rPr>
                <w:shd w:fill="FFFFFF" w:val="clear"/>
              </w:rPr>
              <w:t xml:space="preserve"> 15,</w:t>
            </w:r>
            <w:r>
              <w:rPr/>
              <w:t xml:space="preserve"> 2023</w:t>
            </w:r>
          </w:p>
        </w:tc>
        <w:tc>
          <w:tcPr>
            <w:tcW w:w="60" w:type="dxa"/>
            <w:tcBorders/>
            <w:vAlign w:val="center"/>
          </w:tcPr>
          <w:p>
            <w:pPr>
              <w:pStyle w:val="TableContents"/>
              <w:bidi w:val="0"/>
              <w:spacing w:before="0" w:after="283"/>
              <w:jc w:val="left"/>
              <w:rPr/>
            </w:pPr>
            <w:r>
              <w:rPr/>
              <w:t> </w:t>
            </w:r>
          </w:p>
        </w:tc>
        <w:tc>
          <w:tcPr>
            <w:tcW w:w="4405" w:type="dxa"/>
            <w:gridSpan w:val="2"/>
            <w:tcBorders/>
            <w:vAlign w:val="center"/>
          </w:tcPr>
          <w:p>
            <w:pPr>
              <w:pStyle w:val="TableContents"/>
              <w:bidi w:val="0"/>
              <w:spacing w:before="0" w:after="283"/>
              <w:jc w:val="left"/>
              <w:rPr/>
            </w:pPr>
            <w:r>
              <w:rPr/>
              <w:t>/s/ R. LaDuane Clifton</w:t>
            </w:r>
          </w:p>
        </w:tc>
      </w:tr>
      <w:tr>
        <w:trPr/>
        <w:tc>
          <w:tcPr>
            <w:tcW w:w="1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Name:</w:t>
            </w:r>
          </w:p>
        </w:tc>
        <w:tc>
          <w:tcPr>
            <w:tcW w:w="38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 LaDuane Clifton, CPA</w:t>
            </w:r>
          </w:p>
        </w:tc>
      </w:tr>
      <w:tr>
        <w:trPr/>
        <w:tc>
          <w:tcPr>
            <w:tcW w:w="1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Title:</w:t>
            </w:r>
          </w:p>
        </w:tc>
        <w:tc>
          <w:tcPr>
            <w:tcW w:w="38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Financial Officer, Secretary and Treasurer</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caps/>
          <w:sz w:val="20"/>
        </w:rPr>
      </w:pPr>
      <w:bookmarkStart w:id="69" w:name="ex_485758.htm"/>
      <w:bookmarkStart w:id="70" w:name="ksex_485758"/>
      <w:bookmarkEnd w:id="69"/>
      <w:bookmarkEnd w:id="70"/>
      <w:r>
        <w:rPr>
          <w:rFonts w:ascii="Times New Roman;Times;serif" w:hAnsi="Times New Roman;Times;serif"/>
          <w:b/>
          <w:caps/>
          <w:sz w:val="20"/>
        </w:rPr>
        <w:t>Exhibit</w:t>
      </w:r>
      <w:r>
        <w:rPr>
          <w:rFonts w:ascii="Times New Roman;Times;serif" w:hAnsi="Times New Roman;Times;serif"/>
          <w:caps/>
          <w:sz w:val="20"/>
        </w:rPr>
        <w:t xml:space="preserve"> </w:t>
      </w:r>
      <w:r>
        <w:rPr>
          <w:rFonts w:ascii="Times New Roman;Times;serif" w:hAnsi="Times New Roman;Times;serif"/>
          <w:b/>
          <w:caps/>
          <w:sz w:val="20"/>
        </w:rPr>
        <w:t>32.1</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THE PRINCIPAL EXECUTIVE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18 U.S.C. SECTION 1350, 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connection with the Quarterly Report on Form 10-Q of Zevra Therapeutics, Inc., (the “Company”) for the quarterly period ended </w:t>
      </w:r>
      <w:bookmarkStart w:id="71" w:name="led379874F20232131678735820116"/>
      <w:bookmarkEnd w:id="71"/>
      <w:r>
        <w:rPr>
          <w:rFonts w:ascii="Times New Roman;Times;serif" w:hAnsi="Times New Roman;Times;serif"/>
          <w:sz w:val="20"/>
        </w:rPr>
        <w:t>March 31, 2023, as filed with the Securities and Exchange Commission on the date hereof (the “Report”), I, Richard W. Pascoe, Principal Executive Officer of the Company, certify, pursuant to 18 U.S.C. Section 1350, as adopted pursuant to Section 906 of the Sarbanes-Oxley Act of 2002, that, to my knowledge:</w:t>
      </w:r>
    </w:p>
    <w:p>
      <w:pPr>
        <w:pStyle w:val="TextBody"/>
        <w:bidi w:val="0"/>
        <w:spacing w:before="0" w:after="0"/>
        <w:ind w:left="0" w:right="0" w:hanging="0"/>
        <w:jc w:val="left"/>
        <w:rPr/>
      </w:pPr>
      <w:r>
        <w:rPr/>
        <w:t> </w:t>
      </w:r>
    </w:p>
    <w:p>
      <w:pPr>
        <w:pStyle w:val="Normal"/>
        <w:bidi w:val="0"/>
        <w:spacing w:before="0" w:after="0"/>
        <w:jc w:val="left"/>
        <w:rPr>
          <w:sz w:val="4"/>
          <w:szCs w:val="4"/>
        </w:rPr>
      </w:pPr>
      <w:r>
        <w:rPr>
          <w:sz w:val="4"/>
          <w:szCs w:val="4"/>
        </w:rPr>
      </w:r>
      <w:bookmarkStart w:id="72" w:name="MTAB42"/>
      <w:bookmarkStart w:id="73" w:name="MTAB42"/>
      <w:bookmarkEnd w:id="73"/>
    </w:p>
    <w:tbl>
      <w:tblPr>
        <w:tblW w:w="9820" w:type="dxa"/>
        <w:jc w:val="left"/>
        <w:tblInd w:w="0" w:type="dxa"/>
        <w:tblLayout w:type="fixed"/>
        <w:tblCellMar>
          <w:top w:w="0" w:type="dxa"/>
          <w:left w:w="0" w:type="dxa"/>
          <w:bottom w:w="0" w:type="dxa"/>
          <w:right w:w="0" w:type="dxa"/>
        </w:tblCellMar>
      </w:tblPr>
      <w:tblGrid>
        <w:gridCol w:w="60"/>
        <w:gridCol w:w="170"/>
        <w:gridCol w:w="95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Normal"/>
        <w:bidi w:val="0"/>
        <w:spacing w:before="0" w:after="0"/>
        <w:jc w:val="left"/>
        <w:rPr>
          <w:sz w:val="4"/>
          <w:szCs w:val="4"/>
        </w:rPr>
      </w:pPr>
      <w:r>
        <w:rPr>
          <w:sz w:val="4"/>
          <w:szCs w:val="4"/>
        </w:rPr>
      </w:r>
      <w:bookmarkStart w:id="74" w:name="MTAB52"/>
      <w:bookmarkStart w:id="75" w:name="MTAB52"/>
      <w:bookmarkEnd w:id="75"/>
    </w:p>
    <w:tbl>
      <w:tblPr>
        <w:tblW w:w="10205" w:type="dxa"/>
        <w:jc w:val="left"/>
        <w:tblInd w:w="0" w:type="dxa"/>
        <w:tblLayout w:type="fixed"/>
        <w:tblCellMar>
          <w:top w:w="0" w:type="dxa"/>
          <w:left w:w="0" w:type="dxa"/>
          <w:bottom w:w="0" w:type="dxa"/>
          <w:right w:w="0" w:type="dxa"/>
        </w:tblCellMar>
      </w:tblPr>
      <w:tblGrid>
        <w:gridCol w:w="60"/>
        <w:gridCol w:w="162"/>
        <w:gridCol w:w="9983"/>
      </w:tblGrid>
      <w:tr>
        <w:trPr/>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998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both"/>
        <w:rPr/>
      </w:pPr>
      <w:r>
        <w:rPr/>
        <w:t> </w:t>
      </w:r>
    </w:p>
    <w:p>
      <w:pPr>
        <w:pStyle w:val="Normal"/>
        <w:bidi w:val="0"/>
        <w:spacing w:before="0" w:after="0"/>
        <w:jc w:val="left"/>
        <w:rPr>
          <w:sz w:val="4"/>
          <w:szCs w:val="4"/>
        </w:rPr>
      </w:pPr>
      <w:r>
        <w:rPr>
          <w:sz w:val="4"/>
          <w:szCs w:val="4"/>
        </w:rPr>
      </w:r>
      <w:bookmarkStart w:id="76" w:name="TBL6"/>
      <w:bookmarkStart w:id="77" w:name="TBL6"/>
      <w:bookmarkEnd w:id="77"/>
    </w:p>
    <w:tbl>
      <w:tblPr>
        <w:tblW w:w="10205" w:type="dxa"/>
        <w:jc w:val="left"/>
        <w:tblInd w:w="0" w:type="dxa"/>
        <w:tblLayout w:type="fixed"/>
        <w:tblCellMar>
          <w:top w:w="0" w:type="dxa"/>
          <w:left w:w="0" w:type="dxa"/>
          <w:bottom w:w="0" w:type="dxa"/>
          <w:right w:w="0" w:type="dxa"/>
        </w:tblCellMar>
      </w:tblPr>
      <w:tblGrid>
        <w:gridCol w:w="3136"/>
        <w:gridCol w:w="168"/>
        <w:gridCol w:w="1487"/>
        <w:gridCol w:w="5414"/>
      </w:tblGrid>
      <w:tr>
        <w:trPr/>
        <w:tc>
          <w:tcPr>
            <w:tcW w:w="3136" w:type="dxa"/>
            <w:tcBorders/>
            <w:vAlign w:val="center"/>
          </w:tcPr>
          <w:p>
            <w:pPr>
              <w:pStyle w:val="TableContents"/>
              <w:bidi w:val="0"/>
              <w:spacing w:before="0" w:after="283"/>
              <w:jc w:val="left"/>
              <w:rPr/>
            </w:pPr>
            <w:r>
              <w:rPr/>
              <w:t xml:space="preserve">May </w:t>
            </w:r>
            <w:r>
              <w:rPr>
                <w:shd w:fill="FFFFFF" w:val="clear"/>
              </w:rPr>
              <w:t xml:space="preserve">15, </w:t>
            </w:r>
            <w:r>
              <w:rPr/>
              <w:t>2023</w:t>
            </w:r>
          </w:p>
        </w:tc>
        <w:tc>
          <w:tcPr>
            <w:tcW w:w="168" w:type="dxa"/>
            <w:tcBorders/>
            <w:vAlign w:val="center"/>
          </w:tcPr>
          <w:p>
            <w:pPr>
              <w:pStyle w:val="TableContents"/>
              <w:bidi w:val="0"/>
              <w:spacing w:before="0" w:after="283"/>
              <w:jc w:val="left"/>
              <w:rPr/>
            </w:pPr>
            <w:r>
              <w:rPr/>
              <w:t> </w:t>
            </w:r>
          </w:p>
        </w:tc>
        <w:tc>
          <w:tcPr>
            <w:tcW w:w="6901" w:type="dxa"/>
            <w:gridSpan w:val="2"/>
            <w:tcBorders/>
            <w:vAlign w:val="center"/>
          </w:tcPr>
          <w:p>
            <w:pPr>
              <w:pStyle w:val="TableContents"/>
              <w:bidi w:val="0"/>
              <w:spacing w:before="0" w:after="283"/>
              <w:jc w:val="left"/>
              <w:rPr/>
            </w:pPr>
            <w:r>
              <w:rPr/>
              <w:t>/s/ Richard W. Pascoe</w:t>
            </w:r>
          </w:p>
        </w:tc>
      </w:tr>
      <w:tr>
        <w:trPr/>
        <w:tc>
          <w:tcPr>
            <w:tcW w:w="3136"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48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Name:</w:t>
            </w:r>
          </w:p>
        </w:tc>
        <w:tc>
          <w:tcPr>
            <w:tcW w:w="541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Richard W. Pascoe</w:t>
            </w:r>
          </w:p>
        </w:tc>
      </w:tr>
      <w:tr>
        <w:trPr/>
        <w:tc>
          <w:tcPr>
            <w:tcW w:w="3136"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48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Title:</w:t>
            </w:r>
          </w:p>
        </w:tc>
        <w:tc>
          <w:tcPr>
            <w:tcW w:w="541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Executive Officer</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(Principal Executive Officer)</w:t>
            </w:r>
          </w:p>
        </w:tc>
      </w:tr>
      <w:tr>
        <w:trPr/>
        <w:tc>
          <w:tcPr>
            <w:tcW w:w="10205" w:type="dxa"/>
            <w:gridSpan w:val="4"/>
            <w:tcBorders/>
            <w:vAlign w:val="center"/>
          </w:tcPr>
          <w:p>
            <w:pPr>
              <w:pStyle w:val="TableContents"/>
              <w:bidi w:val="0"/>
              <w:spacing w:before="0" w:after="283"/>
              <w:jc w:val="left"/>
              <w:rPr/>
            </w:pPr>
            <w:r>
              <w:rPr/>
              <w:t> </w:t>
            </w:r>
          </w:p>
        </w:tc>
      </w:tr>
      <w:tr>
        <w:trPr/>
        <w:tc>
          <w:tcPr>
            <w:tcW w:w="10205" w:type="dxa"/>
            <w:gridSpan w:val="4"/>
            <w:tcBorders/>
            <w:vAlign w:val="center"/>
          </w:tcPr>
          <w:p>
            <w:pPr>
              <w:pStyle w:val="TableContents"/>
              <w:bidi w:val="0"/>
              <w:spacing w:before="0" w:after="283"/>
              <w:jc w:val="both"/>
              <w:rPr/>
            </w:pPr>
            <w:r>
              <w:rPr/>
              <w:t>The foregoing certification is being furnished solely pursuant to 18 U.S.C. Section 1350, is not being "filed" by the Company as part of the Report or as a separate disclosure document and is not to be incorporated by reference into any filing o</w:t>
            </w:r>
            <w:r>
              <w:rPr>
                <w:rFonts w:ascii="Times New Roman;Times;serif" w:hAnsi="Times New Roman;Times;serif"/>
                <w:sz w:val="20"/>
              </w:rPr>
              <w:t>f the Company under the Securities Act of 1933, as amended, or the Securities Exchange Act of 1934, as amended (whether made before or after the date of the Report), irrespective of any general incorporation language contained in such filing.</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caps/>
          <w:sz w:val="20"/>
        </w:rPr>
      </w:pPr>
      <w:bookmarkStart w:id="78" w:name="ex_485759.htm"/>
      <w:bookmarkStart w:id="79" w:name="ksex_485759"/>
      <w:bookmarkEnd w:id="78"/>
      <w:bookmarkEnd w:id="79"/>
      <w:r>
        <w:rPr>
          <w:rFonts w:ascii="Times New Roman;Times;serif" w:hAnsi="Times New Roman;Times;serif"/>
          <w:b/>
          <w:caps/>
          <w:sz w:val="20"/>
        </w:rPr>
        <w:t>Exhibit</w:t>
      </w:r>
      <w:r>
        <w:rPr>
          <w:rFonts w:ascii="Times New Roman;Times;serif" w:hAnsi="Times New Roman;Times;serif"/>
          <w:caps/>
          <w:sz w:val="20"/>
        </w:rPr>
        <w:t xml:space="preserve"> </w:t>
      </w:r>
      <w:r>
        <w:rPr>
          <w:rFonts w:ascii="Times New Roman;Times;serif" w:hAnsi="Times New Roman;Times;serif"/>
          <w:b/>
          <w:caps/>
          <w:sz w:val="20"/>
        </w:rPr>
        <w:t>32.2</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THE PRINCIPAL FINANCIAL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18 U.S.C. SECTION 1350, 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connection with the Quarterly Report on Form 10-Q of Zevra Therapeutics, Inc., (the “Company”) for the quarterly period ended </w:t>
      </w:r>
      <w:bookmarkStart w:id="80" w:name="led379874F20232131678735844246"/>
      <w:bookmarkEnd w:id="80"/>
      <w:r>
        <w:rPr>
          <w:rFonts w:ascii="Times New Roman;Times;serif" w:hAnsi="Times New Roman;Times;serif"/>
          <w:sz w:val="20"/>
        </w:rPr>
        <w:t>March 31, 2023, as filed with the Securities and Exchange Commission on the date hereof (the “Report”), I, R. LaDuane Clifton, Principal Financial Officer of the Company, certify, pursuant to 18 U.S.C. Section 1350, as adopted pursuant to Section 906 of the Sarbanes-Oxley Act of 2002, that, to my knowledge:</w:t>
      </w:r>
    </w:p>
    <w:p>
      <w:pPr>
        <w:pStyle w:val="TextBody"/>
        <w:bidi w:val="0"/>
        <w:spacing w:before="0" w:after="0"/>
        <w:ind w:left="0" w:right="0" w:hanging="0"/>
        <w:jc w:val="left"/>
        <w:rPr/>
      </w:pPr>
      <w:r>
        <w:rPr/>
        <w:t> </w:t>
      </w:r>
    </w:p>
    <w:p>
      <w:pPr>
        <w:pStyle w:val="Normal"/>
        <w:bidi w:val="0"/>
        <w:spacing w:before="0" w:after="0"/>
        <w:jc w:val="left"/>
        <w:rPr>
          <w:sz w:val="4"/>
          <w:szCs w:val="4"/>
        </w:rPr>
      </w:pPr>
      <w:r>
        <w:rPr>
          <w:sz w:val="4"/>
          <w:szCs w:val="4"/>
        </w:rPr>
      </w:r>
      <w:bookmarkStart w:id="81" w:name="MTAB12"/>
      <w:bookmarkStart w:id="82" w:name="MTAB12"/>
      <w:bookmarkEnd w:id="82"/>
    </w:p>
    <w:tbl>
      <w:tblPr>
        <w:tblW w:w="9820" w:type="dxa"/>
        <w:jc w:val="left"/>
        <w:tblInd w:w="0" w:type="dxa"/>
        <w:tblLayout w:type="fixed"/>
        <w:tblCellMar>
          <w:top w:w="0" w:type="dxa"/>
          <w:left w:w="0" w:type="dxa"/>
          <w:bottom w:w="0" w:type="dxa"/>
          <w:right w:w="0" w:type="dxa"/>
        </w:tblCellMar>
      </w:tblPr>
      <w:tblGrid>
        <w:gridCol w:w="60"/>
        <w:gridCol w:w="170"/>
        <w:gridCol w:w="95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Normal"/>
        <w:bidi w:val="0"/>
        <w:spacing w:before="0" w:after="0"/>
        <w:jc w:val="left"/>
        <w:rPr>
          <w:sz w:val="4"/>
          <w:szCs w:val="4"/>
        </w:rPr>
      </w:pPr>
      <w:r>
        <w:rPr>
          <w:sz w:val="4"/>
          <w:szCs w:val="4"/>
        </w:rPr>
      </w:r>
      <w:bookmarkStart w:id="83" w:name="MTAB22"/>
      <w:bookmarkStart w:id="84" w:name="MTAB22"/>
      <w:bookmarkEnd w:id="84"/>
    </w:p>
    <w:tbl>
      <w:tblPr>
        <w:tblW w:w="10205" w:type="dxa"/>
        <w:jc w:val="left"/>
        <w:tblInd w:w="0" w:type="dxa"/>
        <w:tblLayout w:type="fixed"/>
        <w:tblCellMar>
          <w:top w:w="0" w:type="dxa"/>
          <w:left w:w="0" w:type="dxa"/>
          <w:bottom w:w="0" w:type="dxa"/>
          <w:right w:w="0" w:type="dxa"/>
        </w:tblCellMar>
      </w:tblPr>
      <w:tblGrid>
        <w:gridCol w:w="60"/>
        <w:gridCol w:w="162"/>
        <w:gridCol w:w="9983"/>
      </w:tblGrid>
      <w:tr>
        <w:trPr/>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998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both"/>
        <w:rPr/>
      </w:pPr>
      <w:r>
        <w:rPr/>
        <w:t> </w:t>
      </w:r>
    </w:p>
    <w:p>
      <w:pPr>
        <w:pStyle w:val="Normal"/>
        <w:bidi w:val="0"/>
        <w:spacing w:before="0" w:after="0"/>
        <w:jc w:val="left"/>
        <w:rPr>
          <w:sz w:val="4"/>
          <w:szCs w:val="4"/>
        </w:rPr>
      </w:pPr>
      <w:r>
        <w:rPr>
          <w:sz w:val="4"/>
          <w:szCs w:val="4"/>
        </w:rPr>
      </w:r>
      <w:bookmarkStart w:id="85" w:name="TBL3"/>
      <w:bookmarkStart w:id="86" w:name="TBL3"/>
      <w:bookmarkEnd w:id="86"/>
    </w:p>
    <w:tbl>
      <w:tblPr>
        <w:tblW w:w="10205" w:type="dxa"/>
        <w:jc w:val="left"/>
        <w:tblInd w:w="0" w:type="dxa"/>
        <w:tblLayout w:type="fixed"/>
        <w:tblCellMar>
          <w:top w:w="0" w:type="dxa"/>
          <w:left w:w="0" w:type="dxa"/>
          <w:bottom w:w="0" w:type="dxa"/>
          <w:right w:w="0" w:type="dxa"/>
        </w:tblCellMar>
      </w:tblPr>
      <w:tblGrid>
        <w:gridCol w:w="2429"/>
        <w:gridCol w:w="137"/>
        <w:gridCol w:w="1202"/>
        <w:gridCol w:w="6437"/>
      </w:tblGrid>
      <w:tr>
        <w:trPr/>
        <w:tc>
          <w:tcPr>
            <w:tcW w:w="2429" w:type="dxa"/>
            <w:tcBorders/>
            <w:vAlign w:val="center"/>
          </w:tcPr>
          <w:p>
            <w:pPr>
              <w:pStyle w:val="TableContents"/>
              <w:bidi w:val="0"/>
              <w:spacing w:before="0" w:after="283"/>
              <w:jc w:val="left"/>
              <w:rPr/>
            </w:pPr>
            <w:r>
              <w:rPr/>
              <w:t>M</w:t>
            </w:r>
            <w:r>
              <w:rPr>
                <w:shd w:fill="FFFFFF" w:val="clear"/>
              </w:rPr>
              <w:t xml:space="preserve">ay 15, </w:t>
            </w:r>
            <w:r>
              <w:rPr/>
              <w:t>2023</w:t>
            </w:r>
          </w:p>
        </w:tc>
        <w:tc>
          <w:tcPr>
            <w:tcW w:w="137" w:type="dxa"/>
            <w:tcBorders/>
            <w:vAlign w:val="center"/>
          </w:tcPr>
          <w:p>
            <w:pPr>
              <w:pStyle w:val="TableContents"/>
              <w:bidi w:val="0"/>
              <w:spacing w:before="0" w:after="283"/>
              <w:jc w:val="left"/>
              <w:rPr/>
            </w:pPr>
            <w:r>
              <w:rPr/>
              <w:t> </w:t>
            </w:r>
          </w:p>
        </w:tc>
        <w:tc>
          <w:tcPr>
            <w:tcW w:w="7639" w:type="dxa"/>
            <w:gridSpan w:val="2"/>
            <w:tcBorders/>
            <w:vAlign w:val="center"/>
          </w:tcPr>
          <w:p>
            <w:pPr>
              <w:pStyle w:val="TableContents"/>
              <w:bidi w:val="0"/>
              <w:spacing w:before="0" w:after="283"/>
              <w:jc w:val="left"/>
              <w:rPr/>
            </w:pPr>
            <w:r>
              <w:rPr/>
              <w:t>/s/ R. LaDuane Clifton</w:t>
            </w:r>
          </w:p>
        </w:tc>
      </w:tr>
      <w:tr>
        <w:trPr/>
        <w:tc>
          <w:tcPr>
            <w:tcW w:w="2429"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20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Name:</w:t>
            </w:r>
          </w:p>
        </w:tc>
        <w:tc>
          <w:tcPr>
            <w:tcW w:w="643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 LaDuane Clifton, CPA</w:t>
            </w:r>
          </w:p>
        </w:tc>
      </w:tr>
      <w:tr>
        <w:trPr/>
        <w:tc>
          <w:tcPr>
            <w:tcW w:w="2429"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20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Title:</w:t>
            </w:r>
          </w:p>
        </w:tc>
        <w:tc>
          <w:tcPr>
            <w:tcW w:w="643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Financial Officer, Secretary and Treasurer</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(Principal Financial Officer)</w:t>
            </w:r>
          </w:p>
        </w:tc>
      </w:tr>
      <w:tr>
        <w:trPr/>
        <w:tc>
          <w:tcPr>
            <w:tcW w:w="2429"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202" w:type="dxa"/>
            <w:tcBorders/>
            <w:vAlign w:val="center"/>
          </w:tcPr>
          <w:p>
            <w:pPr>
              <w:pStyle w:val="TableContents"/>
              <w:bidi w:val="0"/>
              <w:spacing w:before="0" w:after="283"/>
              <w:jc w:val="left"/>
              <w:rPr/>
            </w:pPr>
            <w:r>
              <w:rPr/>
              <w:t> </w:t>
            </w:r>
          </w:p>
        </w:tc>
        <w:tc>
          <w:tcPr>
            <w:tcW w:w="6437" w:type="dxa"/>
            <w:tcBorders/>
            <w:vAlign w:val="center"/>
          </w:tcPr>
          <w:p>
            <w:pPr>
              <w:pStyle w:val="TableContents"/>
              <w:bidi w:val="0"/>
              <w:spacing w:before="0" w:after="283"/>
              <w:jc w:val="left"/>
              <w:rPr/>
            </w:pPr>
            <w:r>
              <w:rPr/>
              <w:t> </w:t>
            </w:r>
          </w:p>
        </w:tc>
      </w:tr>
      <w:tr>
        <w:trPr/>
        <w:tc>
          <w:tcPr>
            <w:tcW w:w="10205" w:type="dxa"/>
            <w:gridSpan w:val="4"/>
            <w:tcBorders/>
            <w:vAlign w:val="center"/>
          </w:tcPr>
          <w:p>
            <w:pPr>
              <w:pStyle w:val="TableContents"/>
              <w:bidi w:val="0"/>
              <w:spacing w:before="0" w:after="283"/>
              <w:jc w:val="both"/>
              <w:rPr/>
            </w:pPr>
            <w:r>
              <w:rPr/>
              <w:t>The foregoing certification is being furnished solely pursuant to 18 U.S.C. Section 1350, is not being "filed" by the Company as part of the Report or as a separate disclosure document and is not to be incorporated by reference into any filing o</w:t>
            </w:r>
            <w:r>
              <w:rPr>
                <w:rFonts w:ascii="Times New Roman;Times;serif" w:hAnsi="Times New Roman;Times;serif"/>
                <w:sz w:val="20"/>
              </w:rPr>
              <w:t>f the Company under the Securities Act of 1933, as amended, or the Securities Exchange Act of 1934, as amended (whether made before or after the date of the Report), irrespective of any general incorporation language contained in such filing.</w:t>
            </w:r>
          </w:p>
        </w:tc>
      </w:tr>
    </w:tbl>
    <w:p>
      <w:pPr>
        <w:pStyle w:val="TextBody"/>
        <w:bidi w:val="0"/>
        <w:spacing w:before="0" w:after="0"/>
        <w:ind w:left="0" w:right="0" w:hanging="0"/>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34647/000119312515140072/d911803dex31.htm" TargetMode="External"/><Relationship Id="rId3" Type="http://schemas.openxmlformats.org/officeDocument/2006/relationships/hyperlink" Target="http://www.sec.gov/Archives/edgar/data/0001434647/000143774920025891/ex_218888.htm" TargetMode="External"/><Relationship Id="rId4" Type="http://schemas.openxmlformats.org/officeDocument/2006/relationships/hyperlink" Target="http://www.sec.gov/Archives/edgar/data/1434647/000143774923004450/ex_478052.htm" TargetMode="External"/><Relationship Id="rId5" Type="http://schemas.openxmlformats.org/officeDocument/2006/relationships/hyperlink" Target="http://www.sec.gov/Archives/edgar/data/1434647/000143774923004450/ex_479870.htm" TargetMode="External"/><Relationship Id="rId6" Type="http://schemas.openxmlformats.org/officeDocument/2006/relationships/hyperlink" Target="http://www.sec.gov/Archives/edgar/data/1434647/000143774921005785/ex_227827.htm" TargetMode="External"/><Relationship Id="rId7" Type="http://schemas.openxmlformats.org/officeDocument/2006/relationships/hyperlink" Target="http://www.sec.gov/Archives/edgar/data/1434647/000143774923012904/ex_515532.htm" TargetMode="External"/><Relationship Id="rId8" Type="http://schemas.openxmlformats.org/officeDocument/2006/relationships/hyperlink" Target="http://www.sec.gov/Archives/edgar/data/1434647/000143774923000695/ex_462051.htm" TargetMode="External"/><Relationship Id="rId9" Type="http://schemas.openxmlformats.org/officeDocument/2006/relationships/hyperlink" Target="http://www.sec.gov/Archives/edgar/data/1434647/000143774923000695/ex_462052.htm" TargetMode="External"/><Relationship Id="rId10" Type="http://schemas.openxmlformats.org/officeDocument/2006/relationships/hyperlink" Target="http://www.sec.gov/ix?doc=/Archives/edgar/data/1434647/000143774923005703/kmph20221231_10k.htm" TargetMode="External"/><Relationship Id="rId11" Type="http://schemas.openxmlformats.org/officeDocument/2006/relationships/hyperlink" Target="http://www.sec.gov/Archives/edgar/data/1434647/000143774923012904/ex_515532.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22754</Words>
  <Characters>125280</Characters>
  <CharactersWithSpaces>149126</CharactersWithSpaces>
  <Paragraphs>4266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