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475615</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534670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170180</wp:posOffset>
            </wp:positionV>
            <wp:extent cx="1783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191770</wp:posOffset>
            </wp:positionV>
            <wp:extent cx="1783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p>
    <w:p>
      <w:pPr>
        <w:ind w:left="3840" w:right="1700" w:hanging="3834"/>
        <w:spacing w:after="0" w:line="482" w:lineRule="auto"/>
        <w:tabs>
          <w:tab w:leader="none" w:pos="55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7" w:lineRule="exact"/>
        <w:rPr>
          <w:sz w:val="24"/>
          <w:szCs w:val="24"/>
          <w:color w:val="auto"/>
        </w:rPr>
      </w:pPr>
    </w:p>
    <w:p>
      <w:pPr>
        <w:ind w:left="560" w:hanging="55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7" w:lineRule="exact"/>
        <w:rPr>
          <w:sz w:val="24"/>
          <w:szCs w:val="24"/>
          <w:color w:val="auto"/>
        </w:rPr>
      </w:pPr>
    </w:p>
    <w:p>
      <w:pPr>
        <w:ind w:left="332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3651250</wp:posOffset>
            </wp:positionH>
            <wp:positionV relativeFrom="paragraph">
              <wp:posOffset>-8255</wp:posOffset>
            </wp:positionV>
            <wp:extent cx="1383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184150</wp:posOffset>
            </wp:positionV>
            <wp:extent cx="1783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8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42"/>
          <w:szCs w:val="42"/>
          <w:b w:val="1"/>
          <w:bCs w:val="1"/>
          <w:color w:val="auto"/>
        </w:rPr>
        <w:t>Zevra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170180</wp:posOffset>
            </wp:positionV>
            <wp:extent cx="1783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tbl>
      <w:tblPr>
        <w:tblLayout w:type="fixed"/>
        <w:tblInd w:w="420" w:type="dxa"/>
        <w:tblCellMar>
          <w:top w:w="0" w:type="dxa"/>
          <w:left w:w="0" w:type="dxa"/>
          <w:bottom w:w="0" w:type="dxa"/>
          <w:right w:w="0" w:type="dxa"/>
        </w:tblCellMar>
      </w:tblPr>
      <w:tr>
        <w:trPr>
          <w:trHeight w:val="212"/>
        </w:trPr>
        <w:tc>
          <w:tcPr>
            <w:tcW w:w="6240" w:type="dxa"/>
            <w:vAlign w:val="bottom"/>
          </w:tcPr>
          <w:p>
            <w:pPr>
              <w:jc w:val="center"/>
              <w:ind w:right="14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33"/>
        </w:trPr>
        <w:tc>
          <w:tcPr>
            <w:tcW w:w="6240" w:type="dxa"/>
            <w:vAlign w:val="bottom"/>
          </w:tcPr>
          <w:p>
            <w:pPr>
              <w:jc w:val="center"/>
              <w:ind w:right="1452"/>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 Incorporation or Organization)</w:t>
            </w:r>
          </w:p>
        </w:tc>
        <w:tc>
          <w:tcPr>
            <w:tcW w:w="318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(I.R.S. Employer Identification No.)</w:t>
            </w:r>
          </w:p>
        </w:tc>
      </w:tr>
      <w:tr>
        <w:trPr>
          <w:trHeight w:val="403"/>
        </w:trPr>
        <w:tc>
          <w:tcPr>
            <w:tcW w:w="6240" w:type="dxa"/>
            <w:vAlign w:val="bottom"/>
          </w:tcPr>
          <w:p>
            <w:pPr>
              <w:jc w:val="center"/>
              <w:ind w:right="1452"/>
              <w:spacing w:after="0"/>
              <w:rPr>
                <w:sz w:val="20"/>
                <w:szCs w:val="20"/>
                <w:color w:val="auto"/>
              </w:rPr>
            </w:pPr>
            <w:r>
              <w:rPr>
                <w:rFonts w:ascii="Times New Roman" w:cs="Times New Roman" w:eastAsia="Times New Roman" w:hAnsi="Times New Roman"/>
                <w:sz w:val="18"/>
                <w:szCs w:val="18"/>
                <w:b w:val="1"/>
                <w:bCs w:val="1"/>
                <w:color w:val="auto"/>
                <w:w w:val="97"/>
              </w:rPr>
              <w:t>1180 Celebration Boulevard, Suite 103, Celebration, FL</w:t>
            </w:r>
          </w:p>
        </w:tc>
        <w:tc>
          <w:tcPr>
            <w:tcW w:w="3180" w:type="dxa"/>
            <w:vAlign w:val="bottom"/>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34747</w:t>
            </w:r>
          </w:p>
        </w:tc>
      </w:tr>
      <w:tr>
        <w:trPr>
          <w:trHeight w:val="233"/>
        </w:trPr>
        <w:tc>
          <w:tcPr>
            <w:tcW w:w="6240" w:type="dxa"/>
            <w:vAlign w:val="bottom"/>
          </w:tcPr>
          <w:p>
            <w:pPr>
              <w:jc w:val="center"/>
              <w:ind w:right="1452"/>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318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24"/>
        </w:trPr>
        <w:tc>
          <w:tcPr>
            <w:tcW w:w="62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(321) 939-3416</w:t>
            </w:r>
          </w:p>
        </w:tc>
        <w:tc>
          <w:tcPr>
            <w:tcW w:w="3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08"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5" w:lineRule="exact"/>
        <w:rPr>
          <w:sz w:val="24"/>
          <w:szCs w:val="24"/>
          <w:color w:val="auto"/>
        </w:rPr>
      </w:pPr>
    </w:p>
    <w:tbl>
      <w:tblPr>
        <w:tblLayout w:type="fixed"/>
        <w:tblInd w:w="1150" w:type="dxa"/>
        <w:tblCellMar>
          <w:top w:w="0" w:type="dxa"/>
          <w:left w:w="0" w:type="dxa"/>
          <w:bottom w:w="0" w:type="dxa"/>
          <w:right w:w="0" w:type="dxa"/>
        </w:tblCellMar>
      </w:tblPr>
      <w:tr>
        <w:trPr>
          <w:trHeight w:val="207"/>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w:t>
            </w:r>
          </w:p>
        </w:tc>
        <w:tc>
          <w:tcPr>
            <w:tcW w:w="0" w:type="dxa"/>
            <w:vAlign w:val="bottom"/>
          </w:tcPr>
          <w:p>
            <w:pPr>
              <w:spacing w:after="0"/>
              <w:rPr>
                <w:sz w:val="1"/>
                <w:szCs w:val="1"/>
                <w:color w:val="auto"/>
              </w:rPr>
            </w:pPr>
          </w:p>
        </w:tc>
      </w:tr>
      <w:tr>
        <w:trPr>
          <w:trHeight w:val="125"/>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000" w:type="dxa"/>
            <w:vAlign w:val="bottom"/>
            <w:tcBorders>
              <w:left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Common Stock, $0.0001 par value per</w:t>
            </w:r>
          </w:p>
        </w:tc>
        <w:tc>
          <w:tcPr>
            <w:tcW w:w="302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ZVRA</w:t>
            </w:r>
          </w:p>
        </w:tc>
        <w:tc>
          <w:tcPr>
            <w:tcW w:w="298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The Nasdaq Stock Market LLC</w:t>
            </w:r>
          </w:p>
        </w:tc>
        <w:tc>
          <w:tcPr>
            <w:tcW w:w="0" w:type="dxa"/>
            <w:vAlign w:val="bottom"/>
          </w:tcPr>
          <w:p>
            <w:pPr>
              <w:spacing w:after="0"/>
              <w:rPr>
                <w:sz w:val="1"/>
                <w:szCs w:val="1"/>
                <w:color w:val="auto"/>
              </w:rPr>
            </w:pPr>
          </w:p>
        </w:tc>
      </w:tr>
      <w:tr>
        <w:trPr>
          <w:trHeight w:val="227"/>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296"/>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tabs>
          <w:tab w:leader="none" w:pos="8220" w:val="left"/>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9, 2025, the registrant had 54,679,641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1348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25400"/>
                    </a:xfrm>
                    <a:prstGeom prst="rect">
                      <a:avLst/>
                    </a:prstGeom>
                    <a:noFill/>
                  </pic:spPr>
                </pic:pic>
              </a:graphicData>
            </a:graphic>
          </wp:anchor>
        </w:drawing>
      </w:r>
    </w:p>
    <w:p>
      <w:pPr>
        <w:sectPr>
          <w:pgSz w:w="11900" w:h="16838" w:orient="portrait"/>
          <w:cols w:equalWidth="0" w:num="1">
            <w:col w:w="11240"/>
          </w:cols>
          <w:pgMar w:left="320" w:top="1073" w:right="339" w:bottom="37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683"/>
        </w:trPr>
        <w:tc>
          <w:tcPr>
            <w:tcW w:w="9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11"/>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3"/>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11"/>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23"/>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PAGE</w:t>
            </w:r>
          </w:p>
        </w:tc>
      </w:tr>
      <w:tr>
        <w:trPr>
          <w:trHeight w:val="205"/>
        </w:trPr>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2"/>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40" w:type="dxa"/>
            <w:vAlign w:val="bottom"/>
            <w:gridSpan w:val="13"/>
            <w:shd w:val="clear" w:color="auto" w:fill="CCEEFF"/>
          </w:tcPr>
          <w:p>
            <w:pPr>
              <w:jc w:val="center"/>
              <w:ind w:right="3460"/>
              <w:spacing w:after="0" w:line="172" w:lineRule="exact"/>
              <w:rPr>
                <w:sz w:val="20"/>
                <w:szCs w:val="20"/>
                <w:color w:val="auto"/>
              </w:rPr>
            </w:pPr>
            <w:r>
              <w:rPr>
                <w:rFonts w:ascii="Times New Roman" w:cs="Times New Roman" w:eastAsia="Times New Roman" w:hAnsi="Times New Roman"/>
                <w:sz w:val="18"/>
                <w:szCs w:val="18"/>
                <w:b w:val="1"/>
                <w:bCs w:val="1"/>
                <w:color w:val="0000EE"/>
                <w:w w:val="96"/>
              </w:rPr>
              <w:t>PART I — FINANCIAL INFORMATION</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r>
      <w:tr>
        <w:trPr>
          <w:trHeight w:val="212"/>
        </w:trPr>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2"/>
        </w:trPr>
        <w:tc>
          <w:tcPr>
            <w:tcW w:w="9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2"/>
            <w:shd w:val="clear" w:color="auto" w:fill="CCEEFF"/>
          </w:tcPr>
          <w:p>
            <w:pPr>
              <w:ind w:left="200"/>
              <w:spacing w:after="0" w:line="172" w:lineRule="exact"/>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2560" w:type="dxa"/>
            <w:vAlign w:val="bottom"/>
            <w:shd w:val="clear" w:color="auto" w:fill="0000EE"/>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82"/>
        </w:trPr>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80" w:type="dxa"/>
            <w:vAlign w:val="bottom"/>
            <w:gridSpan w:val="20"/>
          </w:tcPr>
          <w:p>
            <w:pPr>
              <w:spacing w:after="0" w:line="172"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2025, AND DECEMBER 31, 2024</w:t>
            </w:r>
          </w:p>
        </w:tc>
        <w:tc>
          <w:tcPr>
            <w:tcW w:w="320" w:type="dxa"/>
            <w:vAlign w:val="bottom"/>
            <w:gridSpan w:val="2"/>
          </w:tcPr>
          <w:p>
            <w:pPr>
              <w:jc w:val="center"/>
              <w:ind w:left="152"/>
              <w:spacing w:after="0" w:line="172" w:lineRule="exact"/>
              <w:rPr>
                <w:sz w:val="20"/>
                <w:szCs w:val="20"/>
                <w:color w:val="auto"/>
              </w:rPr>
            </w:pPr>
            <w:r>
              <w:rPr>
                <w:rFonts w:ascii="Times New Roman" w:cs="Times New Roman" w:eastAsia="Times New Roman" w:hAnsi="Times New Roman"/>
                <w:sz w:val="18"/>
                <w:szCs w:val="18"/>
                <w:color w:val="0000EE"/>
                <w:w w:val="88"/>
              </w:rPr>
              <w:t>4</w:t>
            </w:r>
          </w:p>
        </w:tc>
        <w:tc>
          <w:tcPr>
            <w:tcW w:w="240" w:type="dxa"/>
            <w:vAlign w:val="bottom"/>
          </w:tcPr>
          <w:p>
            <w:pPr>
              <w:spacing w:after="0"/>
              <w:rPr>
                <w:sz w:val="15"/>
                <w:szCs w:val="15"/>
                <w:color w:val="auto"/>
              </w:rPr>
            </w:pPr>
          </w:p>
        </w:tc>
      </w:tr>
      <w:tr>
        <w:trPr>
          <w:trHeight w:val="182"/>
        </w:trPr>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120" w:type="dxa"/>
            <w:vAlign w:val="bottom"/>
            <w:tcBorders>
              <w:top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MONTHS ENDED</w:t>
            </w:r>
          </w:p>
        </w:tc>
        <w:tc>
          <w:tcPr>
            <w:tcW w:w="260" w:type="dxa"/>
            <w:vAlign w:val="bottom"/>
            <w:gridSpan w:val="3"/>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r>
      <w:tr>
        <w:trPr>
          <w:trHeight w:val="192"/>
        </w:trPr>
        <w:tc>
          <w:tcPr>
            <w:tcW w:w="9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8900" w:type="dxa"/>
            <w:vAlign w:val="bottom"/>
            <w:tcBorders>
              <w:top w:val="single" w:sz="8" w:color="0000EE"/>
            </w:tcBorders>
            <w:gridSpan w:val="15"/>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MARCH 31, 2025, AND 2024</w:t>
            </w:r>
          </w:p>
        </w:tc>
        <w:tc>
          <w:tcPr>
            <w:tcW w:w="480" w:type="dxa"/>
            <w:vAlign w:val="bottom"/>
            <w:tcBorders>
              <w:top w:val="single" w:sz="8" w:color="CCEEFF"/>
            </w:tcBorders>
            <w:gridSpan w:val="5"/>
            <w:shd w:val="clear" w:color="auto" w:fill="CCEEFF"/>
          </w:tcPr>
          <w:p>
            <w:pPr>
              <w:spacing w:after="0"/>
              <w:rPr>
                <w:sz w:val="16"/>
                <w:szCs w:val="16"/>
                <w:color w:val="auto"/>
              </w:rPr>
            </w:pPr>
          </w:p>
        </w:tc>
        <w:tc>
          <w:tcPr>
            <w:tcW w:w="320" w:type="dxa"/>
            <w:vAlign w:val="bottom"/>
            <w:tcBorders>
              <w:top w:val="single" w:sz="8" w:color="CCEEFF"/>
            </w:tcBorders>
            <w:gridSpan w:val="2"/>
            <w:shd w:val="clear" w:color="auto" w:fill="CCEEFF"/>
          </w:tcPr>
          <w:p>
            <w:pPr>
              <w:jc w:val="center"/>
              <w:ind w:left="152"/>
              <w:spacing w:after="0" w:line="192" w:lineRule="exact"/>
              <w:rPr>
                <w:sz w:val="20"/>
                <w:szCs w:val="20"/>
                <w:color w:val="auto"/>
              </w:rPr>
            </w:pPr>
            <w:r>
              <w:rPr>
                <w:rFonts w:ascii="Times New Roman" w:cs="Times New Roman" w:eastAsia="Times New Roman" w:hAnsi="Times New Roman"/>
                <w:sz w:val="18"/>
                <w:szCs w:val="18"/>
                <w:color w:val="0000EE"/>
                <w:w w:val="88"/>
              </w:rPr>
              <w:t>5</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72"/>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80" w:type="dxa"/>
            <w:vAlign w:val="bottom"/>
            <w:gridSpan w:val="20"/>
          </w:tcPr>
          <w:p>
            <w:pPr>
              <w:spacing w:after="0" w:line="172"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COMPREHENSIVE LOSS FOR THE THREE MONTHS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2"/>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Borders>
              <w:top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8"/>
                <w:szCs w:val="18"/>
                <w:color w:val="0000EE"/>
                <w:w w:val="96"/>
              </w:rPr>
              <w:t>ENDED MARCH 31, 2025, AND 2024</w:t>
            </w:r>
          </w:p>
        </w:tc>
        <w:tc>
          <w:tcPr>
            <w:tcW w:w="6320" w:type="dxa"/>
            <w:vAlign w:val="bottom"/>
            <w:tcBorders>
              <w:top w:val="single" w:sz="8" w:color="0000EE"/>
            </w:tcBorders>
            <w:gridSpan w:val="10"/>
          </w:tcPr>
          <w:p>
            <w:pPr>
              <w:spacing w:after="0"/>
              <w:rPr>
                <w:sz w:val="16"/>
                <w:szCs w:val="16"/>
                <w:color w:val="auto"/>
              </w:rPr>
            </w:pPr>
          </w:p>
        </w:tc>
        <w:tc>
          <w:tcPr>
            <w:tcW w:w="240" w:type="dxa"/>
            <w:vAlign w:val="bottom"/>
            <w:gridSpan w:val="2"/>
          </w:tcPr>
          <w:p>
            <w:pPr>
              <w:spacing w:after="0"/>
              <w:rPr>
                <w:sz w:val="16"/>
                <w:szCs w:val="16"/>
                <w:color w:val="auto"/>
              </w:rPr>
            </w:pPr>
          </w:p>
        </w:tc>
        <w:tc>
          <w:tcPr>
            <w:tcW w:w="320" w:type="dxa"/>
            <w:vAlign w:val="bottom"/>
            <w:gridSpan w:val="2"/>
          </w:tcPr>
          <w:p>
            <w:pPr>
              <w:jc w:val="center"/>
              <w:ind w:left="152"/>
              <w:spacing w:after="0" w:line="192" w:lineRule="exact"/>
              <w:rPr>
                <w:sz w:val="20"/>
                <w:szCs w:val="20"/>
                <w:color w:val="auto"/>
              </w:rPr>
            </w:pPr>
            <w:r>
              <w:rPr>
                <w:rFonts w:ascii="Times New Roman" w:cs="Times New Roman" w:eastAsia="Times New Roman" w:hAnsi="Times New Roman"/>
                <w:sz w:val="18"/>
                <w:szCs w:val="18"/>
                <w:color w:val="0000EE"/>
                <w:w w:val="88"/>
              </w:rPr>
              <w:t>6</w:t>
            </w:r>
          </w:p>
        </w:tc>
        <w:tc>
          <w:tcPr>
            <w:tcW w:w="240" w:type="dxa"/>
            <w:vAlign w:val="bottom"/>
          </w:tcPr>
          <w:p>
            <w:pPr>
              <w:spacing w:after="0"/>
              <w:rPr>
                <w:sz w:val="16"/>
                <w:szCs w:val="16"/>
                <w:color w:val="auto"/>
              </w:rPr>
            </w:pPr>
          </w:p>
        </w:tc>
      </w:tr>
      <w:tr>
        <w:trPr>
          <w:trHeight w:val="30"/>
        </w:trPr>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r>
      <w:tr>
        <w:trPr>
          <w:trHeight w:val="182"/>
        </w:trPr>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380" w:type="dxa"/>
            <w:vAlign w:val="bottom"/>
            <w:gridSpan w:val="2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7"/>
              </w:rPr>
              <w:t>UNAUDITED CONDENSED CONSOLIDATED STATEMENTS OF STOCKHOLDERS' EQUITY FOR THE THREE MONTHS</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r>
      <w:tr>
        <w:trPr>
          <w:trHeight w:val="192"/>
        </w:trPr>
        <w:tc>
          <w:tcPr>
            <w:tcW w:w="9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2820" w:type="dxa"/>
            <w:vAlign w:val="bottom"/>
            <w:tcBorders>
              <w:top w:val="single" w:sz="8" w:color="0000EE"/>
            </w:tcBorders>
            <w:gridSpan w:val="8"/>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ENDED MARCH 31, 2025, AND 2024</w:t>
            </w:r>
          </w:p>
        </w:tc>
        <w:tc>
          <w:tcPr>
            <w:tcW w:w="6480" w:type="dxa"/>
            <w:vAlign w:val="bottom"/>
            <w:tcBorders>
              <w:top w:val="single" w:sz="8" w:color="0000EE"/>
              <w:left w:val="single" w:sz="8" w:color="CCEEFF"/>
            </w:tcBorders>
            <w:gridSpan w:val="11"/>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gridSpan w:val="2"/>
            <w:shd w:val="clear" w:color="auto" w:fill="CCEEFF"/>
          </w:tcPr>
          <w:p>
            <w:pPr>
              <w:jc w:val="center"/>
              <w:ind w:left="152"/>
              <w:spacing w:after="0" w:line="192" w:lineRule="exact"/>
              <w:rPr>
                <w:sz w:val="20"/>
                <w:szCs w:val="20"/>
                <w:color w:val="auto"/>
              </w:rPr>
            </w:pPr>
            <w:r>
              <w:rPr>
                <w:rFonts w:ascii="Times New Roman" w:cs="Times New Roman" w:eastAsia="Times New Roman" w:hAnsi="Times New Roman"/>
                <w:sz w:val="18"/>
                <w:szCs w:val="18"/>
                <w:color w:val="0000EE"/>
                <w:w w:val="88"/>
              </w:rPr>
              <w:t>7</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r>
      <w:tr>
        <w:trPr>
          <w:trHeight w:val="172"/>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40" w:type="dxa"/>
            <w:vAlign w:val="bottom"/>
            <w:tcBorders>
              <w:bottom w:val="single" w:sz="8" w:color="0000EE"/>
            </w:tcBorders>
            <w:gridSpan w:val="16"/>
          </w:tcPr>
          <w:p>
            <w:pPr>
              <w:spacing w:after="0" w:line="172" w:lineRule="exact"/>
              <w:rPr>
                <w:sz w:val="20"/>
                <w:szCs w:val="20"/>
                <w:color w:val="auto"/>
              </w:rPr>
            </w:pPr>
            <w:r>
              <w:rPr>
                <w:rFonts w:ascii="Times New Roman" w:cs="Times New Roman" w:eastAsia="Times New Roman" w:hAnsi="Times New Roman"/>
                <w:sz w:val="18"/>
                <w:szCs w:val="18"/>
                <w:color w:val="0000EE"/>
                <w:w w:val="97"/>
              </w:rPr>
              <w:t>UNAUDITED CONDENSED CONSOLIDATED STATEMENTS OF CASH FLOWS FOR THE THREE MONTHS ENDED</w:t>
            </w:r>
          </w:p>
        </w:tc>
        <w:tc>
          <w:tcPr>
            <w:tcW w:w="440" w:type="dxa"/>
            <w:vAlign w:val="bottom"/>
            <w:gridSpan w:val="4"/>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2"/>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MARCH 31, 2025, AND 2024</w:t>
            </w:r>
          </w:p>
        </w:tc>
        <w:tc>
          <w:tcPr>
            <w:tcW w:w="320" w:type="dxa"/>
            <w:vAlign w:val="bottom"/>
            <w:gridSpan w:val="2"/>
          </w:tcPr>
          <w:p>
            <w:pPr>
              <w:jc w:val="center"/>
              <w:ind w:left="152"/>
              <w:spacing w:after="0" w:line="192" w:lineRule="exact"/>
              <w:rPr>
                <w:sz w:val="20"/>
                <w:szCs w:val="20"/>
                <w:color w:val="auto"/>
              </w:rPr>
            </w:pPr>
            <w:r>
              <w:rPr>
                <w:rFonts w:ascii="Times New Roman" w:cs="Times New Roman" w:eastAsia="Times New Roman" w:hAnsi="Times New Roman"/>
                <w:sz w:val="18"/>
                <w:szCs w:val="18"/>
                <w:color w:val="0000EE"/>
                <w:w w:val="88"/>
              </w:rPr>
              <w:t>9</w:t>
            </w:r>
          </w:p>
        </w:tc>
        <w:tc>
          <w:tcPr>
            <w:tcW w:w="240" w:type="dxa"/>
            <w:vAlign w:val="bottom"/>
          </w:tcPr>
          <w:p>
            <w:pPr>
              <w:spacing w:after="0"/>
              <w:rPr>
                <w:sz w:val="16"/>
                <w:szCs w:val="16"/>
                <w:color w:val="auto"/>
              </w:rPr>
            </w:pPr>
          </w:p>
        </w:tc>
      </w:tr>
      <w:tr>
        <w:trPr>
          <w:trHeight w:val="30"/>
        </w:trPr>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r>
      <w:tr>
        <w:trPr>
          <w:trHeight w:val="182"/>
        </w:trPr>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580" w:type="dxa"/>
            <w:vAlign w:val="bottom"/>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6"/>
              </w:rPr>
              <w:t>NOTES TO UNAUDITED CONDENSED CONSOLIDATED FINANCIAL STATEMENTS</w:t>
            </w:r>
          </w:p>
        </w:tc>
        <w:tc>
          <w:tcPr>
            <w:tcW w:w="2800" w:type="dxa"/>
            <w:vAlign w:val="bottom"/>
            <w:gridSpan w:val="7"/>
            <w:shd w:val="clear" w:color="auto" w:fill="CCEEFF"/>
          </w:tcPr>
          <w:p>
            <w:pPr>
              <w:spacing w:after="0"/>
              <w:rPr>
                <w:sz w:val="15"/>
                <w:szCs w:val="15"/>
                <w:color w:val="auto"/>
              </w:rPr>
            </w:pP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w w:val="99"/>
              </w:rPr>
              <w:t>10</w:t>
            </w: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25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r>
      <w:tr>
        <w:trPr>
          <w:trHeight w:val="172"/>
        </w:trPr>
        <w:tc>
          <w:tcPr>
            <w:tcW w:w="9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24</w:t>
            </w:r>
          </w:p>
        </w:tc>
      </w:tr>
      <w:tr>
        <w:trPr>
          <w:trHeight w:val="30"/>
        </w:trPr>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r>
      <w:tr>
        <w:trPr>
          <w:trHeight w:val="182"/>
        </w:trPr>
        <w:tc>
          <w:tcPr>
            <w:tcW w:w="9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2"/>
            <w:shd w:val="clear" w:color="auto" w:fill="CCEEFF"/>
          </w:tcPr>
          <w:p>
            <w:pPr>
              <w:ind w:left="200"/>
              <w:spacing w:after="0" w:line="18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w w:val="99"/>
              </w:rPr>
              <w:t>36</w:t>
            </w: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25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r>
      <w:tr>
        <w:trPr>
          <w:trHeight w:val="182"/>
        </w:trPr>
        <w:tc>
          <w:tcPr>
            <w:tcW w:w="9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36</w:t>
            </w:r>
          </w:p>
        </w:tc>
      </w:tr>
      <w:tr>
        <w:trPr>
          <w:trHeight w:val="222"/>
        </w:trPr>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top w:val="single" w:sz="8" w:color="0000EE"/>
              <w:right w:val="single" w:sz="8" w:color="CCEEFF"/>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lef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r>
      <w:tr>
        <w:trPr>
          <w:trHeight w:val="182"/>
        </w:trPr>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60" w:type="dxa"/>
            <w:vAlign w:val="bottom"/>
            <w:gridSpan w:val="12"/>
          </w:tcPr>
          <w:p>
            <w:pPr>
              <w:jc w:val="center"/>
              <w:ind w:right="3560"/>
              <w:spacing w:after="0" w:line="172" w:lineRule="exact"/>
              <w:rPr>
                <w:sz w:val="20"/>
                <w:szCs w:val="20"/>
                <w:color w:val="auto"/>
              </w:rPr>
            </w:pPr>
            <w:r>
              <w:rPr>
                <w:rFonts w:ascii="Times New Roman" w:cs="Times New Roman" w:eastAsia="Times New Roman" w:hAnsi="Times New Roman"/>
                <w:sz w:val="18"/>
                <w:szCs w:val="18"/>
                <w:b w:val="1"/>
                <w:bCs w:val="1"/>
                <w:color w:val="0000EE"/>
                <w:w w:val="96"/>
              </w:rPr>
              <w:t>PART II — OTHER INFORMATION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2"/>
        </w:trPr>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0000EE"/>
              <w:left w:val="single" w:sz="8" w:color="CCEEFF"/>
            </w:tcBorders>
            <w:shd w:val="clear" w:color="auto" w:fill="CCEEFF"/>
          </w:tcPr>
          <w:p>
            <w:pPr>
              <w:spacing w:after="0"/>
              <w:rPr>
                <w:sz w:val="19"/>
                <w:szCs w:val="19"/>
                <w:color w:val="auto"/>
              </w:rPr>
            </w:pPr>
          </w:p>
        </w:tc>
        <w:tc>
          <w:tcPr>
            <w:tcW w:w="25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r>
      <w:tr>
        <w:trPr>
          <w:trHeight w:val="172"/>
        </w:trPr>
        <w:tc>
          <w:tcPr>
            <w:tcW w:w="9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37</w:t>
            </w:r>
          </w:p>
        </w:tc>
      </w:tr>
      <w:tr>
        <w:trPr>
          <w:trHeight w:val="30"/>
        </w:trPr>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r>
      <w:tr>
        <w:trPr>
          <w:trHeight w:val="182"/>
        </w:trPr>
        <w:tc>
          <w:tcPr>
            <w:tcW w:w="9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22"/>
            <w:shd w:val="clear" w:color="auto" w:fill="CCEEFF"/>
          </w:tcPr>
          <w:p>
            <w:pPr>
              <w:ind w:left="200"/>
              <w:spacing w:after="0" w:line="182"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w w:val="99"/>
              </w:rPr>
              <w:t>37</w:t>
            </w: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r>
      <w:tr>
        <w:trPr>
          <w:trHeight w:val="172"/>
        </w:trPr>
        <w:tc>
          <w:tcPr>
            <w:tcW w:w="9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39</w:t>
            </w:r>
          </w:p>
        </w:tc>
      </w:tr>
      <w:tr>
        <w:trPr>
          <w:trHeight w:val="30"/>
        </w:trPr>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r>
      <w:tr>
        <w:trPr>
          <w:trHeight w:val="182"/>
        </w:trPr>
        <w:tc>
          <w:tcPr>
            <w:tcW w:w="9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2"/>
            <w:shd w:val="clear" w:color="auto" w:fill="CCEEFF"/>
          </w:tcPr>
          <w:p>
            <w:pPr>
              <w:ind w:left="200"/>
              <w:spacing w:after="0" w:line="182"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w w:val="99"/>
              </w:rPr>
              <w:t>39</w:t>
            </w: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r>
      <w:tr>
        <w:trPr>
          <w:trHeight w:val="172"/>
        </w:trPr>
        <w:tc>
          <w:tcPr>
            <w:tcW w:w="9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39</w:t>
            </w:r>
          </w:p>
        </w:tc>
      </w:tr>
      <w:tr>
        <w:trPr>
          <w:trHeight w:val="30"/>
        </w:trPr>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r>
      <w:tr>
        <w:trPr>
          <w:trHeight w:val="182"/>
        </w:trPr>
        <w:tc>
          <w:tcPr>
            <w:tcW w:w="9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22"/>
            <w:shd w:val="clear" w:color="auto" w:fill="CCEEFF"/>
          </w:tcPr>
          <w:p>
            <w:pPr>
              <w:ind w:left="200"/>
              <w:spacing w:after="0" w:line="182"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w w:val="99"/>
              </w:rPr>
              <w:t>39</w:t>
            </w:r>
          </w:p>
        </w:tc>
      </w:tr>
      <w:tr>
        <w:trPr>
          <w:trHeight w:val="40"/>
        </w:trPr>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r>
      <w:tr>
        <w:trPr>
          <w:trHeight w:val="182"/>
        </w:trPr>
        <w:tc>
          <w:tcPr>
            <w:tcW w:w="9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40</w:t>
            </w:r>
          </w:p>
        </w:tc>
      </w:tr>
      <w:tr>
        <w:trPr>
          <w:trHeight w:val="222"/>
        </w:trPr>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top w:val="single" w:sz="8" w:color="0000EE"/>
              <w:right w:val="single" w:sz="8" w:color="CCEEFF"/>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r>
      <w:tr>
        <w:trPr>
          <w:trHeight w:val="172"/>
        </w:trPr>
        <w:tc>
          <w:tcPr>
            <w:tcW w:w="940" w:type="dxa"/>
            <w:vAlign w:val="bottom"/>
          </w:tcPr>
          <w:p>
            <w:pPr>
              <w:spacing w:after="0"/>
              <w:rPr>
                <w:sz w:val="14"/>
                <w:szCs w:val="14"/>
                <w:color w:val="auto"/>
              </w:rPr>
            </w:pPr>
          </w:p>
        </w:tc>
        <w:tc>
          <w:tcPr>
            <w:tcW w:w="9740" w:type="dxa"/>
            <w:vAlign w:val="bottom"/>
            <w:gridSpan w:val="22"/>
          </w:tcPr>
          <w:p>
            <w:pPr>
              <w:ind w:left="200"/>
              <w:spacing w:after="0" w:line="172"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0000EE"/>
                <w:w w:val="99"/>
              </w:rPr>
              <w:t>41</w:t>
            </w:r>
          </w:p>
        </w:tc>
      </w:tr>
      <w:tr>
        <w:trPr>
          <w:trHeight w:val="583"/>
        </w:trPr>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including the section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target,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contemplates,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assume,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or other similar words or the negative of these terms. We have based these forward-looking statements largely on our current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expectations about future events and financial trends that we believe may affect our business, financial condition and results of operations. The outcome of the events described in these forward-looking statements is subject to risks, uncertainties and other factors described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of our Annual Report on Form 10-K for the fiscal year ended December 31, 2024, filed with the SEC on March 12, 2025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Annual Report on Form 10-K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76" w:lineRule="exact"/>
        <w:rPr>
          <w:sz w:val="20"/>
          <w:szCs w:val="20"/>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commercialize and the timing of commercializing our products and product candidates, if approved;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timing of and expected amount of expenses associated with our commercialization, research, and development activities;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timing of our clinical trials for our product candidates and the availability of data and results of those trials;</w:t>
      </w:r>
    </w:p>
    <w:p>
      <w:pPr>
        <w:spacing w:after="0" w:line="217"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outcome of and timing of any regulatory approval for any of our product candidates and the expected amount or timing of any payment related thereto under any of our collaboration agreements;</w:t>
      </w:r>
    </w:p>
    <w:p>
      <w:pPr>
        <w:spacing w:after="0" w:line="159"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federal, state and foreign legal and regulatory requirements;</w:t>
      </w:r>
    </w:p>
    <w:p>
      <w:pPr>
        <w:spacing w:after="0" w:line="217" w:lineRule="exact"/>
        <w:rPr>
          <w:rFonts w:ascii="Times New Roman" w:cs="Times New Roman" w:eastAsia="Times New Roman" w:hAnsi="Times New Roman"/>
          <w:sz w:val="18"/>
          <w:szCs w:val="18"/>
          <w:color w:val="auto"/>
        </w:rPr>
      </w:pPr>
    </w:p>
    <w:p>
      <w:pPr>
        <w:ind w:left="460" w:hanging="229"/>
        <w:spacing w:after="0" w:line="27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 if approved;</w:t>
      </w:r>
    </w:p>
    <w:p>
      <w:pPr>
        <w:spacing w:after="0" w:line="159"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additional funds on commercially reasonable terms, or at all, in order to support our continued operations;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senior leadership and board member transitions and refreshments;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we use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Zevra,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Quarterly Report on Form 10-Q to refer to Zevra Therapeutics, Inc. We have proprietary rights to a number of trademarks and service marks used in this Quarterly Report on Form 10-Q that are important to our business, including LAT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OLPRUVA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and its related logo, MIPLYFFA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and the Zevra companies' logos.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symbols, but such references should not be construed as any indicator that their respective owners will not assert, to the fullest extent under applicable law, their rights thereto.</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On August 30, 2023, we entered into an Agreement and Plan of Merger (the “Merger Agreement”) with Acer Therapeutics Inc. (“Acer”). On November 17, 2023 (the “Closing Date”), Zevra completed the acquisition of Acer (the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Pursuant to the Merger Agreement, on the Closing Date, Acer continued as the surviving entity and as a wholly-owned subsidiary of 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37,340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33,785</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at fair value, current</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35,711</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10,509</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4,052</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current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1,970</w:t>
            </w:r>
          </w:p>
        </w:tc>
      </w:tr>
      <w:tr>
        <w:trPr>
          <w:trHeight w:val="205"/>
        </w:trPr>
        <w:tc>
          <w:tcPr>
            <w:tcW w:w="80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7"/>
                <w:szCs w:val="17"/>
                <w:color w:val="auto"/>
              </w:rPr>
            </w:pPr>
          </w:p>
        </w:tc>
        <w:tc>
          <w:tcPr>
            <w:tcW w:w="136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81,573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86,027</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at fair value, noncurrent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6,010</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noncurrent</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10,999</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4,701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68,993</w:t>
            </w:r>
          </w:p>
        </w:tc>
      </w:tr>
      <w:tr>
        <w:trPr>
          <w:trHeight w:val="21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w:t>
            </w:r>
          </w:p>
        </w:tc>
      </w:tr>
      <w:tr>
        <w:trPr>
          <w:trHeight w:val="205"/>
        </w:trPr>
        <w:tc>
          <w:tcPr>
            <w:tcW w:w="8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172,708</w:t>
            </w:r>
          </w:p>
        </w:tc>
        <w:tc>
          <w:tcPr>
            <w:tcW w:w="26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178,127</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8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25,456</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discount and rebate liabilities</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4,989</w:t>
            </w:r>
          </w:p>
        </w:tc>
      </w:tr>
      <w:tr>
        <w:trPr>
          <w:trHeight w:val="212"/>
        </w:trPr>
        <w:tc>
          <w:tcPr>
            <w:tcW w:w="8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3,200</w:t>
            </w:r>
          </w:p>
        </w:tc>
      </w:tr>
      <w:tr>
        <w:trPr>
          <w:trHeight w:val="205"/>
        </w:trPr>
        <w:tc>
          <w:tcPr>
            <w:tcW w:w="8000" w:type="dxa"/>
            <w:vAlign w:val="bottom"/>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7"/>
                <w:szCs w:val="17"/>
                <w:color w:val="auto"/>
              </w:rPr>
            </w:pPr>
          </w:p>
        </w:tc>
        <w:tc>
          <w:tcPr>
            <w:tcW w:w="136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26,976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34,065</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59,504</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17,804</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14,431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rebate liabilities, less current portion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7,655</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4,630</w:t>
            </w:r>
          </w:p>
        </w:tc>
      </w:tr>
      <w:tr>
        <w:trPr>
          <w:trHeight w:val="205"/>
        </w:trPr>
        <w:tc>
          <w:tcPr>
            <w:tcW w:w="800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131,685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138,461</w:t>
            </w:r>
          </w:p>
        </w:tc>
      </w:tr>
      <w:tr>
        <w:trPr>
          <w:trHeight w:val="205"/>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M)</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4"/>
        </w:trPr>
        <w:tc>
          <w:tcPr>
            <w:tcW w:w="8000" w:type="dxa"/>
            <w:vAlign w:val="bottom"/>
            <w:shd w:val="clear" w:color="auto" w:fill="CCEEFF"/>
          </w:tcPr>
          <w:p>
            <w:pPr>
              <w:ind w:left="480"/>
              <w:spacing w:after="0" w:line="194" w:lineRule="exact"/>
              <w:rPr>
                <w:sz w:val="20"/>
                <w:szCs w:val="20"/>
                <w:color w:val="auto"/>
              </w:rPr>
            </w:pPr>
            <w:r>
              <w:rPr>
                <w:rFonts w:ascii="Times New Roman" w:cs="Times New Roman" w:eastAsia="Times New Roman" w:hAnsi="Times New Roman"/>
                <w:sz w:val="18"/>
                <w:szCs w:val="18"/>
                <w:color w:val="auto"/>
              </w:rPr>
              <w:t>Undesignated preferred stock, $0.0001 par value, 10,000,000 shares authorized, no shares issued or</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30"/>
        </w:trPr>
        <w:tc>
          <w:tcPr>
            <w:tcW w:w="8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outstanding as of March 31, 2025, or December 31, 2024</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8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Common stock, $0.0001 par value, 250,000,000 shares authorized, 56,255,055 shares issued and 54,679,363</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as of March 31, 2025; 55,246,401 shares issued and 53,670,709 shares outstanding as of</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560,471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555,302</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(505,289)</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631</w:t>
            </w:r>
          </w:p>
        </w:tc>
      </w:tr>
      <w:tr>
        <w:trPr>
          <w:trHeight w:val="205"/>
        </w:trPr>
        <w:tc>
          <w:tcPr>
            <w:tcW w:w="8000" w:type="dxa"/>
            <w:vAlign w:val="bottom"/>
            <w:tcBorders>
              <w:bottom w:val="single" w:sz="8" w:color="CCEEFF"/>
            </w:tcBorders>
            <w:shd w:val="clear" w:color="auto" w:fill="CCEEFF"/>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41,023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39,666</w:t>
            </w:r>
          </w:p>
        </w:tc>
      </w:tr>
      <w:tr>
        <w:trPr>
          <w:trHeight w:val="205"/>
        </w:trPr>
        <w:tc>
          <w:tcPr>
            <w:tcW w:w="8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172,708</w:t>
            </w:r>
          </w:p>
        </w:tc>
        <w:tc>
          <w:tcPr>
            <w:tcW w:w="26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178,127</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2"/>
        </w:trPr>
        <w:tc>
          <w:tcPr>
            <w:tcW w:w="1260" w:type="dxa"/>
            <w:vAlign w:val="bottom"/>
            <w:tcBorders>
              <w:top w:val="single" w:sz="8" w:color="0000EE"/>
            </w:tcBorders>
          </w:tcPr>
          <w:p>
            <w:pPr>
              <w:spacing w:after="0"/>
              <w:rPr>
                <w:sz w:val="24"/>
                <w:szCs w:val="24"/>
                <w:color w:val="auto"/>
              </w:rPr>
            </w:pPr>
          </w:p>
        </w:tc>
        <w:tc>
          <w:tcPr>
            <w:tcW w:w="6740" w:type="dxa"/>
            <w:vAlign w:val="bottom"/>
          </w:tcPr>
          <w:p>
            <w:pPr>
              <w:jc w:val="center"/>
              <w:ind w:left="1952"/>
              <w:spacing w:after="0"/>
              <w:rPr>
                <w:sz w:val="20"/>
                <w:szCs w:val="20"/>
                <w:color w:val="auto"/>
              </w:rPr>
            </w:pPr>
            <w:r>
              <w:rPr>
                <w:rFonts w:ascii="Times New Roman" w:cs="Times New Roman" w:eastAsia="Times New Roman" w:hAnsi="Times New Roman"/>
                <w:sz w:val="18"/>
                <w:szCs w:val="18"/>
                <w:b w:val="1"/>
                <w:bCs w:val="1"/>
                <w:color w:val="auto"/>
                <w:w w:val="97"/>
              </w:rPr>
              <w:t>ZEVRA THERAPEUTICS, INC.</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8320" w:type="dxa"/>
            <w:vAlign w:val="bottom"/>
            <w:gridSpan w:val="3"/>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UNAUDITED CONDENSED CONSOLIDATED STATEMENTS OF OPERATIONS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74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per share amounts)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5"/>
        </w:trPr>
        <w:tc>
          <w:tcPr>
            <w:tcW w:w="126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0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20,401</w:t>
            </w:r>
          </w:p>
        </w:tc>
        <w:tc>
          <w:tcPr>
            <w:tcW w:w="42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3,425</w:t>
            </w:r>
          </w:p>
        </w:tc>
      </w:tr>
      <w:tr>
        <w:trPr>
          <w:trHeight w:val="194"/>
        </w:trPr>
        <w:tc>
          <w:tcPr>
            <w:tcW w:w="8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Cost of product revenue (excluding $1,615 and $1,528 in intangible asset amortization for the three months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ended March 31, 2025, and March 31, 2024, respectively, shown separately below)</w:t>
            </w:r>
          </w:p>
        </w:tc>
        <w:tc>
          <w:tcPr>
            <w:tcW w:w="24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1,528</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12,277</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19,545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9,931</w:t>
            </w:r>
          </w:p>
        </w:tc>
      </w:tr>
      <w:tr>
        <w:trPr>
          <w:trHeight w:val="205"/>
        </w:trPr>
        <w:tc>
          <w:tcPr>
            <w:tcW w:w="8000" w:type="dxa"/>
            <w:vAlign w:val="bottom"/>
            <w:tcBorders>
              <w:bottom w:val="single" w:sz="8" w:color="CCEEFF"/>
            </w:tcBorders>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22,803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22,208</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(5,362)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(20,486)</w:t>
            </w:r>
          </w:p>
        </w:tc>
      </w:tr>
      <w:tr>
        <w:trPr>
          <w:trHeight w:val="205"/>
        </w:trPr>
        <w:tc>
          <w:tcPr>
            <w:tcW w:w="80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3,627</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w:t>
            </w:r>
          </w:p>
        </w:tc>
      </w:tr>
      <w:tr>
        <w:trPr>
          <w:trHeight w:val="205"/>
        </w:trPr>
        <w:tc>
          <w:tcPr>
            <w:tcW w:w="8000" w:type="dxa"/>
            <w:vAlign w:val="bottom"/>
            <w:gridSpan w:val="2"/>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3,445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3,794</w:t>
            </w:r>
          </w:p>
        </w:tc>
      </w:tr>
      <w:tr>
        <w:trPr>
          <w:trHeight w:val="205"/>
        </w:trPr>
        <w:tc>
          <w:tcPr>
            <w:tcW w:w="80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(1,917)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(16,692)</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r>
      <w:tr>
        <w:trPr>
          <w:trHeight w:val="245"/>
        </w:trPr>
        <w:tc>
          <w:tcPr>
            <w:tcW w:w="8000" w:type="dxa"/>
            <w:vAlign w:val="bottom"/>
            <w:gridSpan w:val="2"/>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(3,099)</w:t>
            </w:r>
          </w:p>
        </w:tc>
        <w:tc>
          <w:tcPr>
            <w:tcW w:w="42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(16,622)</w:t>
            </w:r>
          </w:p>
        </w:tc>
      </w:tr>
      <w:tr>
        <w:trPr>
          <w:trHeight w:val="192"/>
        </w:trPr>
        <w:tc>
          <w:tcPr>
            <w:tcW w:w="1260" w:type="dxa"/>
            <w:vAlign w:val="bottom"/>
            <w:tcBorders>
              <w:top w:val="single" w:sz="8" w:color="CCEEFF"/>
            </w:tcBorders>
          </w:tcPr>
          <w:p>
            <w:pPr>
              <w:spacing w:after="0"/>
              <w:rPr>
                <w:sz w:val="16"/>
                <w:szCs w:val="16"/>
                <w:color w:val="auto"/>
              </w:rPr>
            </w:pPr>
          </w:p>
        </w:tc>
        <w:tc>
          <w:tcPr>
            <w:tcW w:w="67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6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2"/>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54,095,543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41,778,774</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2"/>
        </w:trPr>
        <w:tc>
          <w:tcPr>
            <w:tcW w:w="126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5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832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UNAUDITED CONDENSED CONSOLIDATED STATEMENTS OF COMPREHENSIVE LOSS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5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1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5"/>
        </w:trPr>
        <w:tc>
          <w:tcPr>
            <w:tcW w:w="1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36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456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(3,099)</w:t>
            </w:r>
          </w:p>
        </w:tc>
        <w:tc>
          <w:tcPr>
            <w:tcW w:w="42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(16,622)</w:t>
            </w:r>
          </w:p>
        </w:tc>
      </w:tr>
      <w:tr>
        <w:trPr>
          <w:trHeight w:val="21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r>
      <w:tr>
        <w:trPr>
          <w:trHeight w:val="205"/>
        </w:trPr>
        <w:tc>
          <w:tcPr>
            <w:tcW w:w="3680" w:type="dxa"/>
            <w:vAlign w:val="bottom"/>
            <w:gridSpan w:val="2"/>
          </w:tcPr>
          <w:p>
            <w:pPr>
              <w:ind w:left="320"/>
              <w:spacing w:after="0" w:line="205"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4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184</w:t>
            </w:r>
          </w:p>
        </w:tc>
      </w:tr>
      <w:tr>
        <w:trPr>
          <w:trHeight w:val="225"/>
        </w:trPr>
        <w:tc>
          <w:tcPr>
            <w:tcW w:w="36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w:t>
            </w:r>
          </w:p>
        </w:tc>
        <w:tc>
          <w:tcPr>
            <w:tcW w:w="456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(3,812)</w:t>
            </w:r>
          </w:p>
        </w:tc>
        <w:tc>
          <w:tcPr>
            <w:tcW w:w="42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(16,438)</w:t>
            </w: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2"/>
        </w:trPr>
        <w:tc>
          <w:tcPr>
            <w:tcW w:w="3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2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18"/>
                <w:szCs w:val="18"/>
                <w:color w:val="auto"/>
              </w:rPr>
            </w:pPr>
          </w:p>
        </w:tc>
        <w:tc>
          <w:tcPr>
            <w:tcW w:w="1300" w:type="dxa"/>
            <w:vAlign w:val="bottom"/>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Stockholders'</w:t>
            </w:r>
          </w:p>
        </w:tc>
      </w:tr>
      <w:tr>
        <w:trPr>
          <w:trHeight w:val="232"/>
        </w:trPr>
        <w:tc>
          <w:tcPr>
            <w:tcW w:w="3260" w:type="dxa"/>
            <w:vAlign w:val="bottom"/>
          </w:tcPr>
          <w:p>
            <w:pPr>
              <w:spacing w:after="0"/>
              <w:rPr>
                <w:sz w:val="20"/>
                <w:szCs w:val="20"/>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6"/>
              </w:rPr>
              <w:t>at 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05"/>
        </w:trPr>
        <w:tc>
          <w:tcPr>
            <w:tcW w:w="32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January 1, 2025</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555,302</w:t>
            </w:r>
          </w:p>
        </w:tc>
        <w:tc>
          <w:tcPr>
            <w:tcW w:w="26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(505,289)</w:t>
            </w:r>
          </w:p>
        </w:tc>
        <w:tc>
          <w:tcPr>
            <w:tcW w:w="340" w:type="dxa"/>
            <w:vAlign w:val="bottom"/>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631</w:t>
            </w:r>
          </w:p>
        </w:tc>
        <w:tc>
          <w:tcPr>
            <w:tcW w:w="30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2"/>
              <w:spacing w:after="0" w:line="205" w:lineRule="exact"/>
              <w:rPr>
                <w:sz w:val="20"/>
                <w:szCs w:val="20"/>
                <w:color w:val="auto"/>
              </w:rPr>
            </w:pPr>
            <w:r>
              <w:rPr>
                <w:rFonts w:ascii="Times New Roman" w:cs="Times New Roman" w:eastAsia="Times New Roman" w:hAnsi="Times New Roman"/>
                <w:sz w:val="18"/>
                <w:szCs w:val="18"/>
                <w:color w:val="auto"/>
              </w:rPr>
              <w:t>39,666</w:t>
            </w:r>
          </w:p>
        </w:tc>
      </w:tr>
      <w:tr>
        <w:trPr>
          <w:trHeight w:val="205"/>
        </w:trPr>
        <w:tc>
          <w:tcPr>
            <w:tcW w:w="3260" w:type="dxa"/>
            <w:vAlign w:val="bottom"/>
            <w:tcBorders>
              <w:top w:val="single" w:sz="8" w:color="CCEEFF"/>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(3,099)</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(3,099)</w:t>
            </w:r>
          </w:p>
        </w:tc>
      </w:tr>
      <w:tr>
        <w:trPr>
          <w:trHeight w:val="212"/>
        </w:trPr>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3,052</w:t>
            </w:r>
          </w:p>
        </w:tc>
      </w:tr>
      <w:tr>
        <w:trPr>
          <w:trHeight w:val="194"/>
        </w:trPr>
        <w:tc>
          <w:tcPr>
            <w:tcW w:w="32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920" w:type="dxa"/>
            <w:vAlign w:val="bottom"/>
          </w:tcPr>
          <w:p>
            <w:pPr>
              <w:spacing w:after="0"/>
              <w:rPr>
                <w:sz w:val="20"/>
                <w:szCs w:val="20"/>
                <w:color w:val="auto"/>
              </w:rPr>
            </w:pP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w:t>
            </w:r>
          </w:p>
        </w:tc>
      </w:tr>
      <w:tr>
        <w:trPr>
          <w:trHeight w:val="194"/>
        </w:trPr>
        <w:tc>
          <w:tcPr>
            <w:tcW w:w="326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Issuance of common stock as part of</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0"/>
        </w:trPr>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r>
      <w:tr>
        <w:trPr>
          <w:trHeight w:val="194"/>
        </w:trPr>
        <w:tc>
          <w:tcPr>
            <w:tcW w:w="32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Issuance of common stock for options</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 or released</w:t>
            </w:r>
          </w:p>
        </w:tc>
        <w:tc>
          <w:tcPr>
            <w:tcW w:w="920" w:type="dxa"/>
            <w:vAlign w:val="bottom"/>
          </w:tcPr>
          <w:p>
            <w:pPr>
              <w:spacing w:after="0"/>
              <w:rPr>
                <w:sz w:val="20"/>
                <w:szCs w:val="20"/>
                <w:color w:val="auto"/>
              </w:rPr>
            </w:pP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1,979</w:t>
            </w:r>
          </w:p>
        </w:tc>
      </w:tr>
      <w:tr>
        <w:trPr>
          <w:trHeight w:val="21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(713)</w:t>
            </w:r>
          </w:p>
        </w:tc>
      </w:tr>
      <w:tr>
        <w:trPr>
          <w:trHeight w:val="205"/>
        </w:trPr>
        <w:tc>
          <w:tcPr>
            <w:tcW w:w="3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as of March 31, 2025</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560,471</w:t>
            </w:r>
          </w:p>
        </w:tc>
        <w:tc>
          <w:tcPr>
            <w:tcW w:w="26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(508,388)</w:t>
            </w:r>
          </w:p>
        </w:tc>
        <w:tc>
          <w:tcPr>
            <w:tcW w:w="3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(82)</w:t>
            </w:r>
          </w:p>
        </w:tc>
        <w:tc>
          <w:tcPr>
            <w:tcW w:w="300" w:type="dxa"/>
            <w:vAlign w:val="bottom"/>
            <w:gridSpan w:val="2"/>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line="205" w:lineRule="exact"/>
              <w:rPr>
                <w:sz w:val="20"/>
                <w:szCs w:val="20"/>
                <w:color w:val="auto"/>
              </w:rPr>
            </w:pPr>
            <w:r>
              <w:rPr>
                <w:rFonts w:ascii="Times New Roman" w:cs="Times New Roman" w:eastAsia="Times New Roman" w:hAnsi="Times New Roman"/>
                <w:sz w:val="18"/>
                <w:szCs w:val="18"/>
                <w:color w:val="auto"/>
              </w:rPr>
              <w:t>41,023</w:t>
            </w:r>
          </w:p>
        </w:tc>
      </w:tr>
      <w:tr>
        <w:trPr>
          <w:trHeight w:val="20"/>
        </w:trPr>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2"/>
        </w:trPr>
        <w:tc>
          <w:tcPr>
            <w:tcW w:w="3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0" w:type="dxa"/>
            <w:vAlign w:val="bottom"/>
          </w:tcPr>
          <w:p>
            <w:pPr>
              <w:spacing w:after="0"/>
              <w:rPr>
                <w:sz w:val="18"/>
                <w:szCs w:val="18"/>
                <w:color w:val="auto"/>
              </w:rPr>
            </w:pPr>
          </w:p>
        </w:tc>
        <w:tc>
          <w:tcPr>
            <w:tcW w:w="12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2"/>
        </w:trPr>
        <w:tc>
          <w:tcPr>
            <w:tcW w:w="3280" w:type="dxa"/>
            <w:vAlign w:val="bottom"/>
          </w:tcPr>
          <w:p>
            <w:pPr>
              <w:spacing w:after="0"/>
              <w:rPr>
                <w:sz w:val="20"/>
                <w:szCs w:val="20"/>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Stock, at 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5"/>
        </w:trPr>
        <w:tc>
          <w:tcPr>
            <w:tcW w:w="3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January 1, 2024</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472,664</w:t>
            </w:r>
          </w:p>
        </w:tc>
        <w:tc>
          <w:tcPr>
            <w:tcW w:w="2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(399,778)</w:t>
            </w:r>
          </w:p>
        </w:tc>
        <w:tc>
          <w:tcPr>
            <w:tcW w:w="32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(43)</w:t>
            </w:r>
          </w:p>
        </w:tc>
        <w:tc>
          <w:tcPr>
            <w:tcW w:w="30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61,864</w:t>
            </w:r>
          </w:p>
        </w:tc>
      </w:tr>
      <w:tr>
        <w:trPr>
          <w:trHeight w:val="205"/>
        </w:trPr>
        <w:tc>
          <w:tcPr>
            <w:tcW w:w="3280" w:type="dxa"/>
            <w:vAlign w:val="bottom"/>
            <w:tcBorders>
              <w:top w:val="single" w:sz="8" w:color="CCEEFF"/>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(16,622)</w:t>
            </w:r>
          </w:p>
        </w:tc>
      </w:tr>
      <w:tr>
        <w:trPr>
          <w:trHeight w:val="212"/>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r>
      <w:tr>
        <w:trPr>
          <w:trHeight w:val="194"/>
        </w:trPr>
        <w:tc>
          <w:tcPr>
            <w:tcW w:w="328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940" w:type="dxa"/>
            <w:vAlign w:val="bottom"/>
          </w:tcPr>
          <w:p>
            <w:pPr>
              <w:spacing w:after="0"/>
              <w:rPr>
                <w:sz w:val="20"/>
                <w:szCs w:val="20"/>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r>
        <w:trPr>
          <w:trHeight w:val="194"/>
        </w:trPr>
        <w:tc>
          <w:tcPr>
            <w:tcW w:w="328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Issuance of common stock as part of the</w:t>
            </w: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194"/>
        </w:trPr>
        <w:tc>
          <w:tcPr>
            <w:tcW w:w="328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Issuance of common stock for options</w:t>
            </w: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tcPr>
          <w:p>
            <w:pPr>
              <w:spacing w:after="0"/>
              <w:rPr>
                <w:sz w:val="20"/>
                <w:szCs w:val="20"/>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1,146</w:t>
            </w:r>
          </w:p>
        </w:tc>
      </w:tr>
      <w:tr>
        <w:trPr>
          <w:trHeight w:val="212"/>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r>
      <w:tr>
        <w:trPr>
          <w:trHeight w:val="205"/>
        </w:trPr>
        <w:tc>
          <w:tcPr>
            <w:tcW w:w="3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as of March 31, 2024</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476,056</w:t>
            </w:r>
          </w:p>
        </w:tc>
        <w:tc>
          <w:tcPr>
            <w:tcW w:w="2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(416,400)</w:t>
            </w:r>
          </w:p>
        </w:tc>
        <w:tc>
          <w:tcPr>
            <w:tcW w:w="3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2"/>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48,818</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2"/>
        </w:trPr>
        <w:tc>
          <w:tcPr>
            <w:tcW w:w="1260" w:type="dxa"/>
            <w:vAlign w:val="bottom"/>
            <w:tcBorders>
              <w:top w:val="single" w:sz="8" w:color="0000EE"/>
            </w:tcBorders>
          </w:tcPr>
          <w:p>
            <w:pPr>
              <w:spacing w:after="0"/>
              <w:rPr>
                <w:sz w:val="24"/>
                <w:szCs w:val="24"/>
                <w:color w:val="auto"/>
              </w:rPr>
            </w:pPr>
          </w:p>
        </w:tc>
        <w:tc>
          <w:tcPr>
            <w:tcW w:w="674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color w:val="auto"/>
                <w:w w:val="98"/>
              </w:rPr>
              <w:t>ZEVRA THERAPEUTICS, INC.</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7680" w:type="dxa"/>
            <w:vAlign w:val="bottom"/>
            <w:gridSpan w:val="2"/>
          </w:tcPr>
          <w:p>
            <w:pPr>
              <w:jc w:val="center"/>
              <w:ind w:left="972"/>
              <w:spacing w:after="0"/>
              <w:rPr>
                <w:sz w:val="20"/>
                <w:szCs w:val="20"/>
                <w:color w:val="auto"/>
              </w:rPr>
            </w:pPr>
            <w:r>
              <w:rPr>
                <w:rFonts w:ascii="Times New Roman" w:cs="Times New Roman" w:eastAsia="Times New Roman" w:hAnsi="Times New Roman"/>
                <w:sz w:val="18"/>
                <w:szCs w:val="18"/>
                <w:b w:val="1"/>
                <w:bCs w:val="1"/>
                <w:color w:val="auto"/>
                <w:w w:val="97"/>
              </w:rPr>
              <w:t>UNAUDITED CONDENSED CONSOLIDATED STATEMENTS OF CASH FLOWS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74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5"/>
        </w:trPr>
        <w:tc>
          <w:tcPr>
            <w:tcW w:w="126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0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1,562</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on investments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9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Consulting fees paid in common stock</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foreign currency exchange rates</w:t>
            </w:r>
          </w:p>
        </w:tc>
        <w:tc>
          <w:tcPr>
            <w:tcW w:w="9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9,072</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r>
      <w:tr>
        <w:trPr>
          <w:trHeight w:val="21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Discount and rebate liabilities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1,020</w:t>
            </w:r>
          </w:p>
        </w:tc>
      </w:tr>
      <w:tr>
        <w:trPr>
          <w:trHeight w:val="21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2"/>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(8,222)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(16,165)</w:t>
            </w:r>
          </w:p>
        </w:tc>
      </w:tr>
      <w:tr>
        <w:trPr>
          <w:trHeight w:val="205"/>
        </w:trPr>
        <w:tc>
          <w:tcPr>
            <w:tcW w:w="126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14,793</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10,542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14,793</w:t>
            </w:r>
          </w:p>
        </w:tc>
      </w:tr>
      <w:tr>
        <w:trPr>
          <w:trHeight w:val="205"/>
        </w:trPr>
        <w:tc>
          <w:tcPr>
            <w:tcW w:w="126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issuance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1,217</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for options exercised</w:t>
            </w:r>
          </w:p>
        </w:tc>
        <w:tc>
          <w:tcPr>
            <w:tcW w:w="9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principal on insurance financing arrangements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1,217</w:t>
            </w:r>
          </w:p>
        </w:tc>
      </w:tr>
      <w:tr>
        <w:trPr>
          <w:trHeight w:val="205"/>
        </w:trPr>
        <w:tc>
          <w:tcPr>
            <w:tcW w:w="800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(45)</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Pr>
          <w:p>
            <w:pPr>
              <w:spacing w:after="0"/>
              <w:rPr>
                <w:sz w:val="17"/>
                <w:szCs w:val="17"/>
                <w:color w:val="auto"/>
              </w:rPr>
            </w:pPr>
          </w:p>
        </w:tc>
        <w:tc>
          <w:tcPr>
            <w:tcW w:w="64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3,555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(200)</w:t>
            </w:r>
          </w:p>
        </w:tc>
      </w:tr>
      <w:tr>
        <w:trPr>
          <w:trHeight w:val="212"/>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33,785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43,049</w:t>
            </w:r>
          </w:p>
        </w:tc>
      </w:tr>
      <w:tr>
        <w:trPr>
          <w:trHeight w:val="205"/>
        </w:trPr>
        <w:tc>
          <w:tcPr>
            <w:tcW w:w="8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37,340</w:t>
            </w:r>
          </w:p>
        </w:tc>
        <w:tc>
          <w:tcPr>
            <w:tcW w:w="420" w:type="dxa"/>
            <w:vAlign w:val="bottom"/>
            <w:gridSpan w:val="2"/>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42,849</w:t>
            </w:r>
          </w:p>
        </w:tc>
      </w:tr>
      <w:tr>
        <w:trPr>
          <w:trHeight w:val="20"/>
        </w:trPr>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6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r>
      <w:tr>
        <w:trPr>
          <w:trHeight w:val="21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accrued in connection with the debt issuance</w:t>
            </w:r>
          </w:p>
        </w:tc>
        <w:tc>
          <w:tcPr>
            <w:tcW w:w="94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1,726</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ind w:left="460" w:hanging="454"/>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Transactions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Zevra Therapeutics, Inc. (the “Company” or “Zevra”) is a commercial-stage company focused on addressing unmet needs for the treatment of rare diseases. The Company has a diverse portfolio of products and product candidates, which includes clinical stage pipeline and commercial stage assets. On September 20, 2024, the U.S. Food and Drug Administration (“FDA”) approved the New Drug Application (“NDA”) for MIPLYFFA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MIPLYFFA has also been granted orphan medicinal product designation for the treatment of NPC by the European Commission.</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Company received a transferable rare pediatric disease priority review voucher (“PRV”) in conjunction with the approval of MIPLYFFA. On February 27, 2025, the Company and its subsidiary, Zevra Denmark A/S, entered into an asset purchase agreement with a buyer (the “PRV Transfer Agreement”), pursuant to which the Company agreed to sell the PRV to the buyer for $150.0 million, payable in cash, upon the closing of the sale. On April 1, 2025, the asset sale was consummated, resulting in net proceeds of $148.3 million to the Company. As the title of the PRV did not transfer until April 1, 2025, the sale was effective subsequent to the balance sheet date and, therefore, not included in the financial statements as of and for the three months ended March 31, 2025.</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other commercial stage asset, OLPRUVA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phenylbutyrate) for oral suspension, is approved by the FDA for the treatment of certain urea cycle disorders (“UCDs”). Additionally, the Company has a pipeline of investigational product candidates, including celiprolol for the treatment of vascular Ehlers-Danlos syndrome in patients with a confirmed type III collagen mutation and KP1077, the Company's clinical development product candidate being developed to treat idiopathic hypersomnia (“IH”), a rare neurological sleep disorder, and narcolepsy. KP1077 has a sole active pharmaceutical ingredient of serdexmethylphenidate (“SDX”), the Company's proprietary prodrug of d-methylphenidate (“d-MPH”). The FDA has granted KP1077 orphan drug designation for the treatment of IH.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prepared the unaudited condensed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5, 2024, Zevra filed a registration statement on Form S- 3 (File No. 333- 276856) registering an aggregate of 2,269,721 shares of Zevra’s common stock. On April 5, 2024, the Company filed an amendment to such registration statement, which was declared effective on April 8, 2024.</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4, 2024, the Company filed a registration statement on Form S- 3 (File No. 333- 279941)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August 8, 2024, the Company entered into an underwriting agreement (the “Underwriting Agreement”) with Cantor Fitzgerald &amp; Co. and William Blair &amp; Company, L.L.C., as representatives of the several underwriters named therein (collectively, the “Underwriters”), in connection with the offering, issuance and sale by the Company of 9,230,770 shares of the Company’s common stock at a public offering price of $6.50 per share, pursuant to the June 2024 Registration Statement and a related prospectus supplement dated August 8, 2024, filed with the SEC (the “August 2024 Offering”). Under the terms of the Underwriting Agreement, the Company also granted the Underwriters an option exercisable for 30 days to purchase up to an additional 1,384,615 shares of its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the Company. The Company intends to use the net proceeds of the offering to support the commercialization of its approved products and the continued development of its product candidates, and for other general corporate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March 31, 2025, no shares have been issued or sold under the 2024 ATM Agreement.</w:t>
      </w:r>
    </w:p>
    <w:p>
      <w:pPr>
        <w:sectPr>
          <w:pgSz w:w="11900" w:h="16838" w:orient="portrait"/>
          <w:cols w:equalWidth="0" w:num="1">
            <w:col w:w="11240"/>
          </w:cols>
          <w:pgMar w:left="320" w:top="121" w:right="339" w:bottom="19"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460" w:hanging="454"/>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the Company to make estimates and assumptions that affect the amounts reported in the financial statements and accompanying notes. Actual results could differ from those estimates.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 Company maintains investment securities that are classified as available-for-sale securities for which the Company has elected the fair value option under Financial Accounting Standards Board (“FASB”) Accounting Standards Codification (“ASC”) Topic </w:t>
      </w:r>
      <w:r>
        <w:rPr>
          <w:rFonts w:ascii="Times New Roman" w:cs="Times New Roman" w:eastAsia="Times New Roman" w:hAnsi="Times New Roman"/>
          <w:sz w:val="18"/>
          <w:szCs w:val="18"/>
          <w:i w:val="1"/>
          <w:iCs w:val="1"/>
          <w:color w:val="auto"/>
        </w:rPr>
        <w:t>825, Financial Instruments.</w:t>
      </w:r>
      <w:r>
        <w:rPr>
          <w:rFonts w:ascii="Times New Roman" w:cs="Times New Roman" w:eastAsia="Times New Roman" w:hAnsi="Times New Roman"/>
          <w:sz w:val="18"/>
          <w:szCs w:val="18"/>
          <w:color w:val="auto"/>
        </w:rPr>
        <w:t xml:space="preserve"> As such, these securities are carried at fair value with unrealized gains and losses included in fair value adjustment related to investments on the unaudited condensed consolidated statements of operations. The securities primarily consist of U.S. Treasury securities and U.S. government-sponsored agency securities and are included in securities at fair value in the unaudited condensed consolidated balance sheets. As of M arch 31, 2025, and December 31, 2024, the Company held securities with an aggregate fair value of $31.4 million and $41.7 million, respectively, that contained an aggregate unrealized loss of approximately $3,000 and an aggregate unrealized gain of $18,000, respectively. For securities held at March 31, 2025, $25.3 million mature within one year and $6.1 million mature in one to two years. Applying fair value accounting to these debt securities more accurately represents the Company's investment strategy due to the fact that excess cash is currently being invested for the purpose of funding future operations.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are deemed to have the power to direct the activities of a VIE.</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assessment requires judgement in determining whether these interests, in the aggregate, are considered potentially significant to the VIE. As of March 31, 2025, and December 31,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identified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performance obligations; and 5) recognizing revenue when the performance obligations have been fulfilled.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revenues from product sales are recognized at the transaction price when the customer obtains control of the Company's product, which occurs at a point in time, typically upon receipt of the product by the customer. The Company's current single customer is a specialty pharmacy provider.</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remining in the distribution channel, as well as expectations about the market for the product and anticipated introduction of competitive products.</w:t>
      </w:r>
    </w:p>
    <w:p>
      <w:pPr>
        <w:sectPr>
          <w:pgSz w:w="11900" w:h="16838" w:orient="portrait"/>
          <w:cols w:equalWidth="0" w:num="1">
            <w:col w:w="11240"/>
          </w:cols>
          <w:pgMar w:left="320" w:top="121" w:right="339" w:bottom="239"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239" w:gutter="0" w:footer="0" w:header="0"/>
          <w:type w:val="continuous"/>
        </w:sectPr>
      </w:pPr>
    </w:p>
    <w:bookmarkStart w:id="12" w:name="page13"/>
    <w:bookmarkEnd w:id="12"/>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Arimoclomol French AC</w:t>
      </w:r>
    </w:p>
    <w:p>
      <w:pPr>
        <w:spacing w:after="0" w:line="21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Net revenue includes revenue from the sale of arimoclomol for the treatment of NPC under the remunerated expanded access program in France, Accès Compassionnel (“French AC”). An expanded access program is a program giving specific patients access to a drug, which is not yet approved for commercial sale. Only drugs targeting serious or rare indications and for which there is currently no appropriate treatment are considered for expanded access programs. Further, to be considered for the expanded access program, the drug must have proven efficacy and safety and must either be undergoing price negotiations or seeking marketing approval.</w:t>
      </w:r>
    </w:p>
    <w:p>
      <w:pPr>
        <w:spacing w:after="0" w:line="185"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French AC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spacing w:after="0" w:line="185"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sales under the French AC, but the final transaction price depends on the terms and conditions in the contracts with the French Health Authorities, following market approval. Any excess in the price charged by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 products. The limited available relevant market information for directly comparable commercialized drugs within rare disease increases the uncertainty in management's estimate.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8"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8"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i w:val="1"/>
          <w:iCs w:val="1"/>
          <w:color w:val="auto"/>
        </w:rPr>
        <w:t>Up Front Fees</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77"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value of inventories is recorded at net realizable value. The Company determines the cost of its other inventories, which includes amounts related to materials and manufacturing overhead, on a first-in, first-out basis. Inventories that are not expected to be sold within 12 months are classified as inventories, noncurrent.</w:t>
      </w:r>
    </w:p>
    <w:p>
      <w:pPr>
        <w:spacing w:after="0" w:line="178"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unaudited condensed consolidated balance sheets as of March 31, 2025, or December 31, 2024.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March 31, 2025, and December 31, 2024, the Company did not have pre-launch inventory that qualified for capitalization.</w:t>
      </w:r>
    </w:p>
    <w:p>
      <w:pPr>
        <w:sectPr>
          <w:pgSz w:w="11900" w:h="16879" w:orient="portrait"/>
          <w:cols w:equalWidth="0" w:num="1">
            <w:col w:w="11260"/>
          </w:cols>
          <w:pgMar w:left="300" w:top="121" w:right="339" w:bottom="0" w:gutter="0" w:footer="0" w:header="0"/>
        </w:sectPr>
      </w:pP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79" w:orient="portrait"/>
          <w:cols w:equalWidth="0" w:num="1">
            <w:col w:w="11260"/>
          </w:cols>
          <w:pgMar w:left="300" w:top="121" w:right="33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ind w:left="20" w:right="60"/>
        <w:spacing w:after="0" w:line="250"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unaudited condensed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 is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1" w:lineRule="exact"/>
        <w:rPr>
          <w:sz w:val="20"/>
          <w:szCs w:val="20"/>
          <w:color w:val="auto"/>
        </w:rPr>
      </w:pPr>
    </w:p>
    <w:p>
      <w:pPr>
        <w:jc w:val="both"/>
        <w:ind w:left="20" w:right="60"/>
        <w:spacing w:after="0" w:line="271" w:lineRule="auto"/>
        <w:rPr>
          <w:sz w:val="20"/>
          <w:szCs w:val="20"/>
          <w:color w:val="auto"/>
        </w:rPr>
      </w:pPr>
      <w:r>
        <w:rPr>
          <w:rFonts w:ascii="Times New Roman" w:cs="Times New Roman" w:eastAsia="Times New Roman" w:hAnsi="Times New Roman"/>
          <w:sz w:val="18"/>
          <w:szCs w:val="18"/>
          <w:color w:val="auto"/>
        </w:rPr>
        <w:t>The components of cost of product revenue are royalties and expenses directly attributable to revenue. To date, the Company has generated revenue from product sales of MIPLYFFA and OLPRUVA, reimbursements received under the French AC, royalties or net sales milestone payments generated under the Collaboration and License Agreement with Commave Therapeutics SA (the “AZSTARYS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License Agreement”), and consulting agreements.</w:t>
      </w:r>
    </w:p>
    <w:p>
      <w:pPr>
        <w:spacing w:after="0" w:line="43"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color w:val="auto"/>
        </w:rPr>
        <w:t>Prior to our acquisition of the assets of Orphazyme A/S (“Orphazyme”) in May 2022, Orphazyme had entered into an asset purchase agreement with LadRx Corporation, which was assigned to XOMA (US) LLC, a wholly-owned subsidiary of XOMA Corporation (“XOMA”), in June 2023 (“XOMA License Agreement”), as well as a license agreement with Kansas University (“KU”) and UCLB Business, PLC (“UCLB”) (the “KU/UCLB License Agreement”). Under the XOMA License Agreement, XOMA is entitled to a mid-single digit percentage royalty with respect to net sales of MIPLYFFA. In addition, the Company also pays a low-single digit percentage royalty to KU and UCLB with respect to net sales of MIPLYFFA.</w:t>
      </w:r>
    </w:p>
    <w:p>
      <w:pPr>
        <w:spacing w:after="0" w:line="212" w:lineRule="exact"/>
        <w:rPr>
          <w:sz w:val="20"/>
          <w:szCs w:val="20"/>
          <w:color w:val="auto"/>
        </w:rPr>
      </w:pPr>
    </w:p>
    <w:p>
      <w:pPr>
        <w:jc w:val="both"/>
        <w:ind w:left="20" w:right="60"/>
        <w:spacing w:after="0" w:line="259" w:lineRule="auto"/>
        <w:rPr>
          <w:sz w:val="20"/>
          <w:szCs w:val="20"/>
          <w:color w:val="auto"/>
        </w:rPr>
      </w:pPr>
      <w:r>
        <w:rPr>
          <w:rFonts w:ascii="Times New Roman" w:cs="Times New Roman" w:eastAsia="Times New Roman" w:hAnsi="Times New Roman"/>
          <w:sz w:val="18"/>
          <w:szCs w:val="18"/>
          <w:color w:val="auto"/>
        </w:rPr>
        <w:t>In connection with the AZSTARYS License Agreement, the Company pays Aquestive Therapeutics, Inc. (“Aquestive”) a royalty equal to 10% of all regulatory milestone and royalty payments. In addition, the Company capitalized incremental costs directly attributable to the AZSTARYS License Agreement. These costs are amortized to royalties and contract costs as revenue is recognized.</w:t>
      </w:r>
    </w:p>
    <w:p>
      <w:pPr>
        <w:spacing w:after="0" w:line="178" w:lineRule="exact"/>
        <w:rPr>
          <w:sz w:val="20"/>
          <w:szCs w:val="20"/>
          <w:color w:val="auto"/>
        </w:rPr>
      </w:pPr>
    </w:p>
    <w:p>
      <w:pPr>
        <w:jc w:val="both"/>
        <w:ind w:left="20" w:right="60"/>
        <w:spacing w:after="0" w:line="255" w:lineRule="auto"/>
        <w:rPr>
          <w:sz w:val="20"/>
          <w:szCs w:val="20"/>
          <w:color w:val="auto"/>
        </w:rPr>
      </w:pPr>
      <w:r>
        <w:rPr>
          <w:rFonts w:ascii="Times New Roman" w:cs="Times New Roman" w:eastAsia="Times New Roman" w:hAnsi="Times New Roman"/>
          <w:sz w:val="18"/>
          <w:szCs w:val="18"/>
          <w:color w:val="auto"/>
        </w:rPr>
        <w:t>As a condition to entering into the Merger Agreement, Acer and Relief Therapeutics SA (“Relief”) entered into an exclusive license agreement on August 30, 2023 (the “Relief License Agreement”). Pursuant to the Relief License Agreement, Zevra was obligated to pay royalties of 10% of U.S. net sales up to a maximum of $45.0 million, plus specified regulatory milestones, for total payments to Relief of up to $56.5 million. On April 10, 2025, the rights to this royalty were sold to Soleus Capital Management L.P.</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1" w:lineRule="exact"/>
        <w:rPr>
          <w:sz w:val="20"/>
          <w:szCs w:val="20"/>
          <w:color w:val="auto"/>
        </w:rPr>
      </w:pPr>
    </w:p>
    <w:p>
      <w:pPr>
        <w:jc w:val="both"/>
        <w:ind w:left="20" w:right="6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1"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unaudited condensed consolidated statements of changes in stockholders’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unaudited condense consolidated balance sheets and amortized over the life of the respective financing arrangement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1" w:lineRule="exact"/>
        <w:rPr>
          <w:sz w:val="20"/>
          <w:szCs w:val="20"/>
          <w:color w:val="auto"/>
        </w:rPr>
      </w:pPr>
    </w:p>
    <w:p>
      <w:pPr>
        <w:jc w:val="both"/>
        <w:ind w:left="20" w:right="60"/>
        <w:spacing w:after="0" w:line="250"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Topic 480</w:t>
      </w:r>
      <w:r>
        <w:rPr>
          <w:rFonts w:ascii="Times New Roman" w:cs="Times New Roman" w:eastAsia="Times New Roman" w:hAnsi="Times New Roman"/>
          <w:sz w:val="18"/>
          <w:szCs w:val="18"/>
          <w:i w:val="1"/>
          <w:iCs w:val="1"/>
          <w:color w:val="auto"/>
        </w:rPr>
        <w:t>, Distinguishing Liabilities from Equity</w:t>
      </w:r>
      <w:r>
        <w:rPr>
          <w:rFonts w:ascii="Times New Roman" w:cs="Times New Roman" w:eastAsia="Times New Roman" w:hAnsi="Times New Roman"/>
          <w:sz w:val="18"/>
          <w:szCs w:val="18"/>
          <w:color w:val="auto"/>
        </w:rPr>
        <w:t xml:space="preserve"> (ASC 480) and FASB ASC Topic 815</w:t>
      </w:r>
      <w:r>
        <w:rPr>
          <w:rFonts w:ascii="Times New Roman" w:cs="Times New Roman" w:eastAsia="Times New Roman" w:hAnsi="Times New Roman"/>
          <w:sz w:val="18"/>
          <w:szCs w:val="18"/>
          <w:i w:val="1"/>
          <w:iCs w:val="1"/>
          <w:color w:val="auto"/>
        </w:rPr>
        <w:t>,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7"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unaudited condensed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statements of operations. The fair value of the warrants was estimated using the Black-Scholes option pricing model.</w:t>
      </w:r>
    </w:p>
    <w:p>
      <w:pPr>
        <w:sectPr>
          <w:pgSz w:w="11900" w:h="16838" w:orient="portrait"/>
          <w:cols w:equalWidth="0" w:num="1">
            <w:col w:w="11320"/>
          </w:cols>
          <w:pgMar w:left="300" w:top="121" w:right="279" w:bottom="1440" w:gutter="0" w:footer="0" w:header="0"/>
        </w:sectPr>
      </w:pP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20"/>
          </w:cols>
          <w:pgMar w:left="300" w:top="121" w:right="27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w:t>
      </w:r>
    </w:p>
    <w:p>
      <w:pPr>
        <w:spacing w:after="0" w:line="21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 and in foreign jurisdictions. The update will be effective for annual periods beginning after December 15, 2024. The Company is currently evaluating the impact that this guidance will have on the presentation of its financial statements and accompanying notes.</w:t>
      </w:r>
    </w:p>
    <w:p>
      <w:pPr>
        <w:spacing w:after="0" w:line="205" w:lineRule="exact"/>
        <w:rPr>
          <w:sz w:val="20"/>
          <w:szCs w:val="20"/>
          <w:color w:val="auto"/>
        </w:rPr>
      </w:pPr>
    </w:p>
    <w:p>
      <w:pPr>
        <w:ind w:left="700" w:hanging="674"/>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1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7"/>
          <w:szCs w:val="17"/>
          <w:color w:val="auto"/>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reimbursements received from product sales of MIPLYFFA and OLPRUVA, reimbursements received under the French AC, royalties or net sales milestone payments generated under the AZSTARYS License Agreement, and consulting agreements. The accounting policies of the segment are the same as those described in Note B.</w:t>
      </w:r>
    </w:p>
    <w:p>
      <w:pPr>
        <w:spacing w:after="0" w:line="16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Zevra's CODM is the Company's Chief Executive Officer, Neil F. McFarlane. The CODM uses net loss, as reported in the Company's unaudited condensed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operating results of the Company's segment:</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11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Borders>
              <w:bottom w:val="single" w:sz="8" w:color="auto"/>
            </w:tcBorders>
            <w:gridSpan w:val="6"/>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5"/>
        </w:trPr>
        <w:tc>
          <w:tcPr>
            <w:tcW w:w="11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1100" w:type="dxa"/>
            <w:vAlign w:val="bottom"/>
          </w:tcPr>
          <w:p>
            <w:pPr>
              <w:spacing w:after="0"/>
              <w:rPr>
                <w:sz w:val="17"/>
                <w:szCs w:val="17"/>
                <w:color w:val="auto"/>
              </w:rPr>
            </w:pPr>
          </w:p>
        </w:tc>
        <w:tc>
          <w:tcPr>
            <w:tcW w:w="54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shd w:val="clear" w:color="auto" w:fill="CCEEFF"/>
          </w:tcPr>
          <w:p>
            <w:pPr>
              <w:jc w:val="right"/>
              <w:ind w:right="834"/>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20,401</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3,425</w:t>
            </w:r>
          </w:p>
        </w:tc>
      </w:tr>
      <w:tr>
        <w:trPr>
          <w:trHeight w:val="212"/>
        </w:trPr>
        <w:tc>
          <w:tcPr>
            <w:tcW w:w="11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Research and development directly identified to programs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12"/>
        </w:trPr>
        <w:tc>
          <w:tcPr>
            <w:tcW w:w="110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 not directly identified to programs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12"/>
        </w:trPr>
        <w:tc>
          <w:tcPr>
            <w:tcW w:w="1100" w:type="dxa"/>
            <w:vAlign w:val="bottom"/>
          </w:tcPr>
          <w:p>
            <w:pPr>
              <w:spacing w:after="0"/>
              <w:rPr>
                <w:sz w:val="18"/>
                <w:szCs w:val="18"/>
                <w:color w:val="auto"/>
              </w:rPr>
            </w:pPr>
          </w:p>
        </w:tc>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 directly identified to programs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12"/>
        </w:trPr>
        <w:tc>
          <w:tcPr>
            <w:tcW w:w="110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 not directly identified to programs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r>
      <w:tr>
        <w:trPr>
          <w:trHeight w:val="212"/>
        </w:trPr>
        <w:tc>
          <w:tcPr>
            <w:tcW w:w="11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1100" w:type="dxa"/>
            <w:vAlign w:val="bottom"/>
          </w:tcPr>
          <w:p>
            <w:pPr>
              <w:spacing w:after="0"/>
              <w:rPr>
                <w:sz w:val="18"/>
                <w:szCs w:val="18"/>
                <w:color w:val="auto"/>
              </w:rPr>
            </w:pPr>
          </w:p>
        </w:tc>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2"/>
        </w:trPr>
        <w:tc>
          <w:tcPr>
            <w:tcW w:w="110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2"/>
        </w:trPr>
        <w:tc>
          <w:tcPr>
            <w:tcW w:w="1100" w:type="dxa"/>
            <w:vAlign w:val="bottom"/>
          </w:tcPr>
          <w:p>
            <w:pPr>
              <w:spacing w:after="0"/>
              <w:rPr>
                <w:sz w:val="18"/>
                <w:szCs w:val="18"/>
                <w:color w:val="auto"/>
              </w:rPr>
            </w:pPr>
          </w:p>
        </w:tc>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12"/>
        </w:trPr>
        <w:tc>
          <w:tcPr>
            <w:tcW w:w="110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income, net(a)</w:t>
            </w: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25"/>
        </w:trPr>
        <w:tc>
          <w:tcPr>
            <w:tcW w:w="1100" w:type="dxa"/>
            <w:vAlign w:val="bottom"/>
          </w:tcPr>
          <w:p>
            <w:pPr>
              <w:spacing w:after="0"/>
              <w:rPr>
                <w:sz w:val="19"/>
                <w:szCs w:val="19"/>
                <w:color w:val="auto"/>
              </w:rPr>
            </w:pPr>
          </w:p>
        </w:tc>
        <w:tc>
          <w:tcPr>
            <w:tcW w:w="5440" w:type="dxa"/>
            <w:vAlign w:val="bottom"/>
            <w:shd w:val="clear" w:color="auto" w:fill="CCEEFF"/>
          </w:tcPr>
          <w:p>
            <w:pPr>
              <w:ind w:left="460"/>
              <w:spacing w:after="0" w:line="205" w:lineRule="exact"/>
              <w:rPr>
                <w:sz w:val="20"/>
                <w:szCs w:val="20"/>
                <w:color w:val="auto"/>
              </w:rPr>
            </w:pPr>
            <w:r>
              <w:rPr>
                <w:rFonts w:ascii="Times New Roman" w:cs="Times New Roman" w:eastAsia="Times New Roman" w:hAnsi="Times New Roman"/>
                <w:sz w:val="18"/>
                <w:szCs w:val="18"/>
                <w:color w:val="auto"/>
              </w:rPr>
              <w:t>Segment net loss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(3,099)</w:t>
            </w:r>
          </w:p>
        </w:tc>
        <w:tc>
          <w:tcPr>
            <w:tcW w:w="40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(16,622)</w:t>
            </w:r>
          </w:p>
        </w:tc>
      </w:tr>
      <w:tr>
        <w:trPr>
          <w:trHeight w:val="20"/>
        </w:trPr>
        <w:tc>
          <w:tcPr>
            <w:tcW w:w="1100" w:type="dxa"/>
            <w:vAlign w:val="bottom"/>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left="20" w:firstLine="6"/>
        <w:spacing w:after="0" w:line="259"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included in segment net loss includes foreign currency exchange gains and losses, cost of product revenue (excluding intangible asset amortization), fair value adjustment related to warrant and contingent value right (“CVR”) liabilities, fair value adjustment related to investments, and other overhead expenses.</w:t>
      </w:r>
    </w:p>
    <w:p>
      <w:pPr>
        <w:spacing w:after="0" w:line="178"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The Company holds long-lived assets in the United States of $12.3 million and $13.4 million as of March 31, 2025, and December 31, 2024, respectively. The Company holds long-lived assets in Europe of $0.4 million and $0.5 million as of March 31, 2025, and December 31, 2024, respectively.</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 (in thousands):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Raw materials</w:t>
            </w:r>
          </w:p>
        </w:tc>
        <w:tc>
          <w:tcPr>
            <w:tcW w:w="174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7,698</w:t>
            </w:r>
          </w:p>
        </w:tc>
        <w:tc>
          <w:tcPr>
            <w:tcW w:w="24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7,928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4920" w:type="dxa"/>
            <w:vAlign w:val="bottom"/>
            <w:gridSpan w:val="2"/>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inventories</w:t>
            </w:r>
          </w:p>
        </w:tc>
        <w:tc>
          <w:tcPr>
            <w:tcW w:w="174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13,174</w:t>
            </w:r>
          </w:p>
        </w:tc>
        <w:tc>
          <w:tcPr>
            <w:tcW w:w="24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12,969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0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460" w:hanging="454"/>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is available to the Company in up to two drawings, each in an amount not to exceed $10.0 million, at the Company’s option until 18 months following the Term Loans Closing Date; and (iii) $20.0 million which was available to the Company upon approval by the FDA of the NDA for MIPLYFFA for the treatment of NPC, at the Company’s option until December 31, 2024 and which has therefore expired (collectively, the “Term Loans”).</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principal amount of the Term Loans outstanding (the “Outstanding Principal Amount”) will bear interest at a rate equal to 3-Month Term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The Company has the option to pay up to 25% of the interest in-kind beginning on the Term Loans Closing Date, through and including June 30, 2026. The Company has recognized approximately $1.9 million and $1.4 million of interest-in-kind as of March 31, 2025, and December 31, 2024, which is included in long-term debt in the unaudited condensed consolidated balance sheets. The Term Loans will mature on the fifth anniversary of the Term Loans Closing Date. In connection with the Credit Agreement, the Company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by the Company, which, among other things, will require the Company to provide certain financial reports to the Lenders within 60 days after the end of each of the first three fiscal quarters of each fiscal year and 105 days after the end of each fiscal year, meet certain minimum net product sales amounts, and limit the ability of the Company to incur or guarantee additional indebtedness, engage in certain transactions, and effect a consolidation or merger without consent. In addition, as long as the line of credit remains active, the Company must maintain a minimum cash balance of $20.0 million to ensure the Company can meet its immediate capital needs.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current and future assets of the Company. The proceeds of the Term Loans were used to refinance certain existing indebtedness of the Company and its subsidiaries. The Company will use the remaining proceeds to pay fees and expenses related to the debt financing and fund the development and commercialization of MIPLYFFA and OLPRUVA.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3"/>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1140" w:type="dxa"/>
            <w:vAlign w:val="bottom"/>
          </w:tcPr>
          <w:p>
            <w:pPr>
              <w:spacing w:after="0"/>
              <w:rPr>
                <w:sz w:val="17"/>
                <w:szCs w:val="17"/>
                <w:color w:val="auto"/>
              </w:rPr>
            </w:pPr>
          </w:p>
        </w:tc>
        <w:tc>
          <w:tcPr>
            <w:tcW w:w="3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Notes payable</w:t>
            </w:r>
          </w:p>
        </w:tc>
        <w:tc>
          <w:tcPr>
            <w:tcW w:w="2440" w:type="dxa"/>
            <w:vAlign w:val="bottom"/>
            <w:gridSpan w:val="3"/>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62,053</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61,552</w:t>
            </w:r>
          </w:p>
        </w:tc>
      </w:tr>
      <w:tr>
        <w:trPr>
          <w:trHeight w:val="212"/>
        </w:trPr>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12"/>
        </w:trPr>
        <w:tc>
          <w:tcPr>
            <w:tcW w:w="114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5"/>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60,090</w:t>
            </w:r>
          </w:p>
        </w:tc>
        <w:tc>
          <w:tcPr>
            <w:tcW w:w="20" w:type="dxa"/>
            <w:vAlign w:val="bottom"/>
          </w:tcPr>
          <w:p>
            <w:pPr>
              <w:spacing w:after="0"/>
              <w:rPr>
                <w:sz w:val="17"/>
                <w:szCs w:val="17"/>
                <w:color w:val="auto"/>
              </w:rPr>
            </w:pPr>
          </w:p>
        </w:tc>
        <w:tc>
          <w:tcPr>
            <w:tcW w:w="240" w:type="dxa"/>
            <w:vAlign w:val="bottom"/>
            <w:gridSpan w:val="3"/>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59,504</w:t>
            </w:r>
          </w:p>
        </w:tc>
      </w:tr>
      <w:tr>
        <w:trPr>
          <w:trHeight w:val="20"/>
        </w:trPr>
        <w:tc>
          <w:tcPr>
            <w:tcW w:w="46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1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Future minimum principal payments under the Term Loans as of</w:t>
            </w:r>
          </w:p>
        </w:tc>
        <w:tc>
          <w:tcPr>
            <w:tcW w:w="3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March 31, 2025,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23"/>
        </w:trPr>
        <w:tc>
          <w:tcPr>
            <w:tcW w:w="462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5"/>
        </w:trPr>
        <w:tc>
          <w:tcPr>
            <w:tcW w:w="1140" w:type="dxa"/>
            <w:vAlign w:val="bottom"/>
          </w:tcPr>
          <w:p>
            <w:pPr>
              <w:spacing w:after="0"/>
              <w:rPr>
                <w:sz w:val="17"/>
                <w:szCs w:val="17"/>
                <w:color w:val="auto"/>
              </w:rPr>
            </w:pPr>
          </w:p>
        </w:tc>
        <w:tc>
          <w:tcPr>
            <w:tcW w:w="5920" w:type="dxa"/>
            <w:vAlign w:val="bottom"/>
            <w:tcBorders>
              <w:top w:val="single" w:sz="8" w:color="auto"/>
            </w:tcBorders>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2025 (excluding the three months ending March 31, 2025)</w:t>
            </w: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14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62,053</w:t>
            </w:r>
          </w:p>
        </w:tc>
      </w:tr>
      <w:tr>
        <w:trPr>
          <w:trHeight w:val="205"/>
        </w:trPr>
        <w:tc>
          <w:tcPr>
            <w:tcW w:w="1140" w:type="dxa"/>
            <w:vAlign w:val="bottom"/>
          </w:tcPr>
          <w:p>
            <w:pPr>
              <w:spacing w:after="0"/>
              <w:rPr>
                <w:sz w:val="17"/>
                <w:szCs w:val="17"/>
                <w:color w:val="auto"/>
              </w:rPr>
            </w:pPr>
          </w:p>
        </w:tc>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minimum payments</w:t>
            </w: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62,053</w:t>
            </w:r>
          </w:p>
        </w:tc>
      </w:tr>
      <w:tr>
        <w:trPr>
          <w:trHeight w:val="212"/>
        </w:trPr>
        <w:tc>
          <w:tcPr>
            <w:tcW w:w="1140" w:type="dxa"/>
            <w:vAlign w:val="bottom"/>
          </w:tcPr>
          <w:p>
            <w:pPr>
              <w:spacing w:after="0"/>
              <w:rPr>
                <w:sz w:val="18"/>
                <w:szCs w:val="18"/>
                <w:color w:val="auto"/>
              </w:rPr>
            </w:pPr>
          </w:p>
        </w:tc>
        <w:tc>
          <w:tcPr>
            <w:tcW w:w="59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debt issuance costs and paid in kind interest</w:t>
            </w:r>
          </w:p>
        </w:tc>
        <w:tc>
          <w:tcPr>
            <w:tcW w:w="1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05"/>
        </w:trPr>
        <w:tc>
          <w:tcPr>
            <w:tcW w:w="4620" w:type="dxa"/>
            <w:vAlign w:val="bottom"/>
            <w:gridSpan w:val="2"/>
          </w:tcPr>
          <w:p>
            <w:pPr>
              <w:ind w:left="1120"/>
              <w:spacing w:after="0" w:line="205" w:lineRule="exact"/>
              <w:rPr>
                <w:sz w:val="20"/>
                <w:szCs w:val="20"/>
                <w:color w:val="auto"/>
              </w:rPr>
            </w:pPr>
            <w:r>
              <w:rPr>
                <w:rFonts w:ascii="Times New Roman" w:cs="Times New Roman" w:eastAsia="Times New Roman" w:hAnsi="Times New Roman"/>
                <w:sz w:val="18"/>
                <w:szCs w:val="18"/>
                <w:color w:val="auto"/>
              </w:rPr>
              <w:t>Long-term debt</w:t>
            </w: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3"/>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60,090</w:t>
            </w: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460" w:hanging="454"/>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Company recorded $20.4 million and $3.4 million, respectively, of revenue.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On December 27, 2022, the FDA approved OLPRUVA (sodium phenylbutyrate), a prescription medicine used along with certain therapy, including changes in diet, for the long-term management of adults and children with certain UCDs weighing 44 pounds ( 20 kg) or greater and with a body surface area of 1.2m </w:t>
      </w: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7"/>
          <w:szCs w:val="17"/>
          <w:color w:val="auto"/>
        </w:rPr>
        <w:t>or greater. For the three months ended March 31, 2025, and 2024, sales of OLPRUVA were $0.1 million and de minimis, respectively.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20, 2024, the NDA for MIPLYFFA, an orally-delivered treatment for NPC, which is an ultra-rare and progressive neurodegenerative disease, was approved for treatment in combination with miglustat. In addition, the Company received a transferable rare pediatric disease PRV in conjunction with the approval of MIPLYFFA. On April 1, 2025, the Company consummated the sale of the PRV, resulting in net proceeds of $148.3 million to the Company. For the three months ended March 31, 2025, sales of MIPLYFFA were $17.1 million.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utilizes a single specialty pharmacy provider as its sole distributor for both MIPLYFFA and OLPRUVA. The Company also enters into arrangements with health care providers and payors that provide for government mandated and/or privately negotiated rebates with respect to the purchase of its products. To commercialize MIPLYFFA and OLPRUVA in the U.S., the Company has built marketing, sales, medical affairs, distribution, managerial and other non-technical capabilities or is making arrangements with third parties to perform these services. All revenues derived from sales of MIPLYFFA and OLPRUVA are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French AC</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recognized revenue related to the French AC of $2.3 million and $2.2 million, net of a clawback liability of $1.4 million and $1.3 million, respectively, and other gross to net adjustments. The total estimated reserve liability as of March 31, 2025, and December 31, 2024, was $14.6 million and $12.6 million, respectively. As of March 31, 2025, and December 31, 2024,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AZSTARYS License Agreement</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entered into a Collaboration and License Agreement (the “AZSTARYS License Agreement”) with Commave Therapeutics SA (formerly known as Boston Pharmaceuticals Holdings SA) (“Commave”), an affiliate of Gurnet Point Capital, L.P., dated September 3, 2019.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months ended March 31, 2025, and 2024, the Company recognized revenue under the AZSTARYS License Agreement of $0.9 million and $1.2 million, respectively. There was no deferred revenue related to this agreement as of March 31, 2025, or December 31, 2024. All revenues recognized under this agreement derived in the United States.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accordance with the terms of the Company’s agreement with Aquestive dated March 20, 2012, Aquestive has the right to receive an amount equal to 10% of any royalty or milestone payments made to the Company related to AZSTARYS or KP1077 under the AZSTARYS License Agreement.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customer/vendor relationship and are not exposed equally to the risks and rewards of the activities contemplated under the AZSTARYS License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 For the three months ended March 31, 2025, and 2024, the Company did not recognize any revenue under the Relief License Agreement. There was no deferred revenue related to this agreement as of March 31, 2025, and 2024.</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1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product sales of MIPLYFFA and OLPRUVA, reimbursements received under the French AC, royalties or net sales milestone payments generated under the AZSTARYS License Agreement, consulting agreements, and other receivables due to the Company. Receivables under the AZSTARYS License Agreement are recorded for amounts due to the Company related to reimbursable third-party costs as well as milestones and royalties on product sales. Receivables are recorded for product sales under the French AC and commercial sales of MIPLYFFA and OLPRUVA to a single specialty pharmacy.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(in thousands):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3"/>
        </w:trPr>
        <w:tc>
          <w:tcPr>
            <w:tcW w:w="1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11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1140" w:type="dxa"/>
            <w:vAlign w:val="bottom"/>
          </w:tcPr>
          <w:p>
            <w:pPr>
              <w:spacing w:after="0"/>
              <w:rPr>
                <w:sz w:val="17"/>
                <w:szCs w:val="17"/>
                <w:color w:val="auto"/>
              </w:rPr>
            </w:pPr>
          </w:p>
        </w:tc>
        <w:tc>
          <w:tcPr>
            <w:tcW w:w="47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Commercial accounts receivable</w:t>
            </w:r>
          </w:p>
        </w:tc>
        <w:tc>
          <w:tcPr>
            <w:tcW w:w="10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6,861</w:t>
            </w:r>
          </w:p>
        </w:tc>
        <w:tc>
          <w:tcPr>
            <w:tcW w:w="32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4,010</w:t>
            </w:r>
          </w:p>
        </w:tc>
      </w:tr>
      <w:tr>
        <w:trPr>
          <w:trHeight w:val="212"/>
        </w:trPr>
        <w:tc>
          <w:tcPr>
            <w:tcW w:w="11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related to product reimbursements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12"/>
        </w:trPr>
        <w:tc>
          <w:tcPr>
            <w:tcW w:w="11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and milestones accounts receivable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12"/>
        </w:trPr>
        <w:tc>
          <w:tcPr>
            <w:tcW w:w="11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5"/>
        </w:trPr>
        <w:tc>
          <w:tcPr>
            <w:tcW w:w="1140" w:type="dxa"/>
            <w:vAlign w:val="bottom"/>
          </w:tcPr>
          <w:p>
            <w:pPr>
              <w:spacing w:after="0"/>
              <w:rPr>
                <w:sz w:val="19"/>
                <w:szCs w:val="19"/>
                <w:color w:val="auto"/>
              </w:rPr>
            </w:pPr>
          </w:p>
        </w:tc>
        <w:tc>
          <w:tcPr>
            <w:tcW w:w="47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receivables</w:t>
            </w:r>
          </w:p>
        </w:tc>
        <w:tc>
          <w:tcPr>
            <w:tcW w:w="10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12,617</w:t>
            </w:r>
          </w:p>
        </w:tc>
        <w:tc>
          <w:tcPr>
            <w:tcW w:w="32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10,509</w:t>
            </w:r>
          </w:p>
        </w:tc>
      </w:tr>
      <w:tr>
        <w:trPr>
          <w:trHeight w:val="20"/>
        </w:trPr>
        <w:tc>
          <w:tcPr>
            <w:tcW w:w="114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As of March 31, 2025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December 31,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reserve or allowance for doubtful accounts had been established.</w:t>
      </w:r>
    </w:p>
    <w:p>
      <w:pPr>
        <w:spacing w:after="0" w:line="244" w:lineRule="exact"/>
        <w:rPr>
          <w:sz w:val="20"/>
          <w:szCs w:val="20"/>
          <w:color w:val="auto"/>
        </w:rPr>
      </w:pPr>
    </w:p>
    <w:p>
      <w:pPr>
        <w:ind w:left="480" w:hanging="454"/>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and Warrants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As of March 31, 2025, and December 31, 2024, the Company had authorized shares of common stock of 250,000,000 shares. Of the authorized shares, 56,255,055 and 55,246,401 shares of common stock were issued as of March 31, 2025, and December 31, 2024, respectively, and 54,679,363 and 53,670,709 shares of common stock were outstanding as of March 31, 2025, and December 31, 2024, respectively.</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March 31, 2025, and December 31, 2024, the Company had reserved authorized shares of common stock for future issuance as follows:</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-119380</wp:posOffset>
            </wp:positionV>
            <wp:extent cx="570420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4205" cy="13462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2540</wp:posOffset>
            </wp:positionV>
            <wp:extent cx="5704205"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4205" cy="134620"/>
                    </a:xfrm>
                    <a:prstGeom prst="rect">
                      <a:avLst/>
                    </a:prstGeom>
                    <a:noFill/>
                  </pic:spPr>
                </pic:pic>
              </a:graphicData>
            </a:graphic>
          </wp:anchor>
        </w:drawing>
      </w:r>
    </w:p>
    <w:p>
      <w:pPr>
        <w:ind w:left="1140" w:right="720"/>
        <w:spacing w:after="0" w:line="280" w:lineRule="auto"/>
        <w:rPr>
          <w:sz w:val="20"/>
          <w:szCs w:val="20"/>
          <w:color w:val="auto"/>
        </w:rPr>
      </w:pPr>
      <w:r>
        <w:rPr>
          <w:rFonts w:ascii="Times New Roman" w:cs="Times New Roman" w:eastAsia="Times New Roman" w:hAnsi="Times New Roman"/>
          <w:sz w:val="17"/>
          <w:szCs w:val="17"/>
          <w:color w:val="auto"/>
        </w:rPr>
        <w:t>Possible future issuances under equity incentive plans Possible future issuances under employee stock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-12065</wp:posOffset>
            </wp:positionV>
            <wp:extent cx="5704205" cy="16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4205" cy="16002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15875</wp:posOffset>
            </wp:positionV>
            <wp:extent cx="10096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7,734,741</w:t>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5,483,527</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6,287,941</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1,148,012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10160</wp:posOffset>
            </wp:positionV>
            <wp:extent cx="10096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20,654,221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1009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6"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7,789,658</w:t>
      </w:r>
    </w:p>
    <w:p>
      <w:pPr>
        <w:spacing w:after="0" w:line="18"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5,483,537</w:t>
      </w:r>
    </w:p>
    <w:p>
      <w:pPr>
        <w:spacing w:after="0" w:line="5"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5,383,165</w:t>
      </w:r>
    </w:p>
    <w:p>
      <w:pPr>
        <w:spacing w:after="0" w:line="5"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1,148,012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2540</wp:posOffset>
            </wp:positionV>
            <wp:extent cx="10096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jc w:val="right"/>
        <w:ind w:right="1200"/>
        <w:spacing w:after="0"/>
        <w:rPr>
          <w:sz w:val="20"/>
          <w:szCs w:val="20"/>
          <w:color w:val="auto"/>
        </w:rPr>
      </w:pPr>
      <w:r>
        <w:rPr>
          <w:rFonts w:ascii="Times New Roman" w:cs="Times New Roman" w:eastAsia="Times New Roman" w:hAnsi="Times New Roman"/>
          <w:sz w:val="18"/>
          <w:szCs w:val="18"/>
          <w:color w:val="auto"/>
        </w:rPr>
        <w:t>19,804,372</w:t>
      </w:r>
    </w:p>
    <w:p>
      <w:pPr>
        <w:spacing w:after="0" w:line="653" w:lineRule="exact"/>
        <w:rPr>
          <w:sz w:val="20"/>
          <w:szCs w:val="20"/>
          <w:color w:val="auto"/>
        </w:rPr>
      </w:pPr>
    </w:p>
    <w:p>
      <w:pPr>
        <w:sectPr>
          <w:pgSz w:w="11900" w:h="16838" w:orient="portrait"/>
          <w:cols w:equalWidth="0" w:num="3">
            <w:col w:w="6320" w:space="720"/>
            <w:col w:w="1340" w:space="200"/>
            <w:col w:w="2680"/>
          </w:cols>
          <w:pgMar w:left="300" w:top="121" w:right="3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following table summarizes common stock activity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-119380</wp:posOffset>
            </wp:positionV>
            <wp:extent cx="5704205"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4205" cy="134620"/>
                    </a:xfrm>
                    <a:prstGeom prst="rect">
                      <a:avLst/>
                    </a:prstGeom>
                    <a:noFill/>
                  </pic:spPr>
                </pic:pic>
              </a:graphicData>
            </a:graphic>
          </wp:anchor>
        </w:drawing>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issued as compensation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2540</wp:posOffset>
            </wp:positionV>
            <wp:extent cx="5704205"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4205" cy="142875"/>
                    </a:xfrm>
                    <a:prstGeom prst="rect">
                      <a:avLst/>
                    </a:prstGeom>
                    <a:noFill/>
                  </pic:spPr>
                </pic:pic>
              </a:graphicData>
            </a:graphic>
          </wp:anchor>
        </w:drawing>
      </w:r>
    </w:p>
    <w:p>
      <w:pPr>
        <w:ind w:left="1300" w:right="1540"/>
        <w:spacing w:after="0" w:line="272" w:lineRule="auto"/>
        <w:rPr>
          <w:sz w:val="20"/>
          <w:szCs w:val="20"/>
          <w:color w:val="auto"/>
        </w:rPr>
      </w:pPr>
      <w:r>
        <w:rPr>
          <w:rFonts w:ascii="Times New Roman" w:cs="Times New Roman" w:eastAsia="Times New Roman" w:hAnsi="Times New Roman"/>
          <w:sz w:val="18"/>
          <w:szCs w:val="18"/>
          <w:color w:val="auto"/>
        </w:rPr>
        <w:t>Common stock issued as a result of stock options exercised or released Warrants issued as a result of stock warrants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-12065</wp:posOffset>
            </wp:positionV>
            <wp:extent cx="5704205" cy="160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4205" cy="16002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Balance as of March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Shares of Common</w:t>
      </w:r>
    </w:p>
    <w:p>
      <w:pPr>
        <w:spacing w:after="0" w:line="3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2540</wp:posOffset>
            </wp:positionV>
            <wp:extent cx="1017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jc w:val="right"/>
        <w:ind w:right="1200"/>
        <w:spacing w:after="0"/>
        <w:rPr>
          <w:sz w:val="20"/>
          <w:szCs w:val="20"/>
          <w:color w:val="auto"/>
        </w:rPr>
      </w:pPr>
      <w:r>
        <w:rPr>
          <w:rFonts w:ascii="Times New Roman" w:cs="Times New Roman" w:eastAsia="Times New Roman" w:hAnsi="Times New Roman"/>
          <w:sz w:val="18"/>
          <w:szCs w:val="18"/>
          <w:color w:val="auto"/>
        </w:rPr>
        <w:t>53,670,709</w:t>
      </w:r>
    </w:p>
    <w:p>
      <w:pPr>
        <w:spacing w:after="0" w:line="18"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9,306</w:t>
      </w:r>
    </w:p>
    <w:p>
      <w:pPr>
        <w:spacing w:after="0" w:line="5"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999,338</w:t>
      </w:r>
    </w:p>
    <w:p>
      <w:pPr>
        <w:spacing w:after="0" w:line="18"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2540</wp:posOffset>
            </wp:positionV>
            <wp:extent cx="10179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jc w:val="right"/>
        <w:ind w:right="1200"/>
        <w:spacing w:after="0"/>
        <w:rPr>
          <w:sz w:val="20"/>
          <w:szCs w:val="20"/>
          <w:color w:val="auto"/>
        </w:rPr>
      </w:pPr>
      <w:r>
        <w:rPr>
          <w:rFonts w:ascii="Times New Roman" w:cs="Times New Roman" w:eastAsia="Times New Roman" w:hAnsi="Times New Roman"/>
          <w:sz w:val="18"/>
          <w:szCs w:val="18"/>
          <w:color w:val="auto"/>
        </w:rPr>
        <w:t>54,679,363</w:t>
      </w:r>
    </w:p>
    <w:p>
      <w:pPr>
        <w:spacing w:after="0" w:line="653" w:lineRule="exact"/>
        <w:rPr>
          <w:sz w:val="20"/>
          <w:szCs w:val="20"/>
          <w:color w:val="auto"/>
        </w:rPr>
      </w:pPr>
    </w:p>
    <w:p>
      <w:pPr>
        <w:sectPr>
          <w:pgSz w:w="11900" w:h="16838" w:orient="portrait"/>
          <w:cols w:equalWidth="0" w:num="2">
            <w:col w:w="7860" w:space="720"/>
            <w:col w:w="2680"/>
          </w:cols>
          <w:pgMar w:left="300" w:top="121" w:right="339" w:bottom="1440" w:gutter="0" w:footer="0" w:header="0"/>
          <w:type w:val="continuous"/>
        </w:sectPr>
      </w:pPr>
    </w:p>
    <w:p>
      <w:pPr>
        <w:spacing w:after="0" w:line="21"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As of March 31, 2025, and December 31, 2024, the Company had 10,000,000 shares of authorized preferred stock, none of which were designated, issued, or outstanding.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issued warrants to purchase common stock to various third parties, of which 5,483,527 remain outstanding as of March 31, 2025, and are immediately exercisable. These warrants qualify as participating securities under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are treated as such in the net loss per share calculation (Note J). The Company may be required to redeem these warrants for a cash amount equal to the Black-Scholes value of the portion of the warrants to be redeemed (the “Put Option”).</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connection with the Merger, in November 2023, the Company directly issued to certain investors an aggregate of 1,382,489 shares of its common stock, par value $0.0001 per share, and accompanying warrants to purchase up to 1,382,489 shares of its common stock (the “2023 Warrants”) at a combined offering price of $4.34 per share of common stock and the 2023 Warrants and an aggregate of 917,934 shares of its common stock in exchange for the cancellation of a warrant to purchase 2,920,306 shares of common stock of Acer. The 2023 Warrants are immediately exercisable and expire on November 22, 2028. The Company used the net proceeds of approximately $6.0 million from the offering for general corporate purposes. These warrants are separately exercisable by the warrant holders. While the warrants are outstanding (but unexercised), the warrant holders will participate in any dividend or other distribution of the Company’s assets to its common stockholders by way of return of capital or otherwise. As of March 31, 2025, and December 31, 2024, none of the warrants have been exercised.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determined that its outstanding warrants and the Put Option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March 31, 2025, and December 31, 2024, the fair value of the liability associated with these warrants and the Put Option was approximately $13.0 million and $17.8 million, respectively. The fair value adjustment related to these warrants and the Put Option was approximately $4.8 million and $4.6 million of income for the three months ended March 31, 2025, and 2024, respectively.</w:t>
      </w:r>
    </w:p>
    <w:p>
      <w:pPr>
        <w:spacing w:after="0" w:line="210" w:lineRule="exact"/>
        <w:rPr>
          <w:sz w:val="20"/>
          <w:szCs w:val="20"/>
          <w:color w:val="auto"/>
        </w:rPr>
      </w:pPr>
    </w:p>
    <w:p>
      <w:pPr>
        <w:ind w:left="460" w:hanging="454"/>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19" w:lineRule="exact"/>
        <w:rPr>
          <w:sz w:val="20"/>
          <w:szCs w:val="20"/>
          <w:color w:val="auto"/>
        </w:rPr>
      </w:pPr>
    </w:p>
    <w:p>
      <w:pPr>
        <w:spacing w:after="0"/>
        <w:tabs>
          <w:tab w:leader="none" w:pos="360" w:val="left"/>
          <w:tab w:leader="none" w:pos="6940" w:val="left"/>
        </w:tabs>
        <w:rPr>
          <w:sz w:val="20"/>
          <w:szCs w:val="20"/>
          <w:color w:val="auto"/>
        </w:rPr>
      </w:pPr>
      <w:r>
        <w:rPr>
          <w:rFonts w:ascii="Times New Roman" w:cs="Times New Roman" w:eastAsia="Times New Roman" w:hAnsi="Times New Roman"/>
          <w:sz w:val="18"/>
          <w:szCs w:val="18"/>
          <w:color w:val="auto"/>
        </w:rPr>
        <w:t>In</w:t>
        <w:tab/>
        <w:t>November 2014, the Board of Directors of the Company (“the Board”),  and  in</w:t>
        <w:tab/>
        <w:t>April  2015,  the  Company’s  stockholders,  approved  the</w:t>
      </w:r>
    </w:p>
    <w:p>
      <w:pPr>
        <w:spacing w:after="0" w:line="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12,079,711 as of March 31, 2025.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2025, the common stock reserved for issuance under the A&amp;R 2014 Plan automatically increased by 2,146,828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March 31, 2024, 889,025 and 716,875 stock options were exercised, respectively.</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March 31, 2025, 351,988 shares have been issued under the ESPP.</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January 2023, the Board approved the 2023 Employment Inducement Award Plan (as amended, the “2023 Plan”). The maximum number of shares of common stock that may be issued under the 2023 Plan was 4,500,000 as of March 31, 2025.</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February 2025, the Board approved the Tenth Amended and Restated Non-Employee Director Compensation Policy (the “Non-Employee Director Compensation Policy”). The equity compensation granted pursuant to the Non-Employee Director Compensation Policy will be granted under the A&amp;R 2014 Plan.</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Stock-based compensation expense recorded under the A&amp;R 2014 Plan, ESPP and 2023 Plan is included in the following line items in the accompanying unaudited condensed consolidated statements of operations (in thousands):</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32"/>
        </w:trPr>
        <w:tc>
          <w:tcPr>
            <w:tcW w:w="678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05"/>
        </w:trPr>
        <w:tc>
          <w:tcPr>
            <w:tcW w:w="67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7"/>
                <w:szCs w:val="17"/>
                <w:color w:val="auto"/>
              </w:rPr>
            </w:pPr>
          </w:p>
        </w:tc>
      </w:tr>
      <w:tr>
        <w:trPr>
          <w:trHeight w:val="205"/>
        </w:trPr>
        <w:tc>
          <w:tcPr>
            <w:tcW w:w="6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357</w:t>
            </w:r>
          </w:p>
        </w:tc>
        <w:tc>
          <w:tcPr>
            <w:tcW w:w="1180" w:type="dxa"/>
            <w:vAlign w:val="bottom"/>
            <w:gridSpan w:val="2"/>
            <w:shd w:val="clear" w:color="auto" w:fill="CCEEFF"/>
          </w:tcPr>
          <w:p>
            <w:pPr>
              <w:jc w:val="right"/>
              <w:ind w:right="892"/>
              <w:spacing w:after="0" w:line="205"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853</w:t>
            </w: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8"/>
              </w:rPr>
              <w:t>1,266</w:t>
            </w:r>
          </w:p>
        </w:tc>
      </w:tr>
      <w:tr>
        <w:trPr>
          <w:trHeight w:val="245"/>
        </w:trPr>
        <w:tc>
          <w:tcPr>
            <w:tcW w:w="678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98"/>
              </w:rPr>
              <w:t>2,119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stock-based compensation expense related to performance-based awards recognized during the three months ended March 31, 2025, and 2024.</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460" w:hanging="454"/>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59" w:lineRule="exact"/>
        <w:rPr>
          <w:sz w:val="20"/>
          <w:szCs w:val="20"/>
          <w:color w:val="auto"/>
        </w:rPr>
      </w:pPr>
    </w:p>
    <w:p>
      <w:pPr>
        <w:ind w:left="460" w:hanging="22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w:t>
      </w:r>
    </w:p>
    <w:p>
      <w:pPr>
        <w:spacing w:after="0" w:line="24" w:lineRule="exact"/>
        <w:rPr>
          <w:rFonts w:ascii="Times New Roman" w:cs="Times New Roman" w:eastAsia="Times New Roman" w:hAnsi="Times New Roman"/>
          <w:sz w:val="18"/>
          <w:szCs w:val="18"/>
          <w:color w:val="auto"/>
        </w:rPr>
      </w:pPr>
    </w:p>
    <w:p>
      <w:pPr>
        <w:ind w:left="460" w:hanging="229"/>
        <w:spacing w:after="0" w:line="24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and</w:t>
      </w:r>
    </w:p>
    <w:p>
      <w:pPr>
        <w:spacing w:after="0" w:line="1"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which require the Company to develop its own assumptions.</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and other receivables, and accounts payable and accrued expenses approximate their respective fair values due to the short-term nature of such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March 31, 2025, and December 31, 2024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 (Level 1)</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CVR liability</w:t>
            </w:r>
          </w:p>
        </w:tc>
        <w:tc>
          <w:tcPr>
            <w:tcW w:w="1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3,400</w:t>
            </w:r>
          </w:p>
        </w:tc>
        <w:tc>
          <w:tcPr>
            <w:tcW w:w="22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shd w:val="clear" w:color="auto" w:fill="CCEEFF"/>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16,430</w:t>
            </w:r>
          </w:p>
        </w:tc>
        <w:tc>
          <w:tcPr>
            <w:tcW w:w="22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16,430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31,382</w:t>
            </w:r>
          </w:p>
        </w:tc>
        <w:tc>
          <w:tcPr>
            <w:tcW w:w="2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25,291</w:t>
            </w:r>
          </w:p>
        </w:tc>
        <w:tc>
          <w:tcPr>
            <w:tcW w:w="2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6,091</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Assets (Level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Inputs (Level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3"/>
              </w:rPr>
              <w:t>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CVR liability</w:t>
            </w:r>
          </w:p>
        </w:tc>
        <w:tc>
          <w:tcPr>
            <w:tcW w:w="1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3,500</w:t>
            </w:r>
          </w:p>
        </w:tc>
        <w:tc>
          <w:tcPr>
            <w:tcW w:w="22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shd w:val="clear" w:color="auto" w:fill="CCEEFF"/>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21,304</w:t>
            </w:r>
          </w:p>
        </w:tc>
        <w:tc>
          <w:tcPr>
            <w:tcW w:w="22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21,304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41,721</w:t>
            </w:r>
          </w:p>
        </w:tc>
        <w:tc>
          <w:tcPr>
            <w:tcW w:w="2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35,711</w:t>
            </w:r>
          </w:p>
        </w:tc>
        <w:tc>
          <w:tcPr>
            <w:tcW w:w="2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6,010</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common stock warrant liabilities were recorded at fair value using the Black-Scholes option pricing model. The following assumptions were used in determining the fair value of the warrant liabilities valued using the Black-Scholes option pricing model as of March 31, 2025, and December 31, 2024:</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20" w:type="dxa"/>
            <w:vAlign w:val="bottom"/>
          </w:tcPr>
          <w:p>
            <w:pPr>
              <w:spacing w:after="0"/>
              <w:rPr>
                <w:sz w:val="17"/>
                <w:szCs w:val="17"/>
                <w:color w:val="auto"/>
              </w:rPr>
            </w:pPr>
          </w:p>
        </w:tc>
        <w:tc>
          <w:tcPr>
            <w:tcW w:w="3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3.84% - 4.04%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4.08% - 4.23%</w:t>
            </w:r>
          </w:p>
        </w:tc>
      </w:tr>
      <w:tr>
        <w:trPr>
          <w:trHeight w:val="212"/>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57.65% - 65.48%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9"/>
              </w:rPr>
              <w:t>62.14% - 68.68%</w:t>
            </w:r>
          </w:p>
        </w:tc>
      </w:tr>
      <w:tr>
        <w:trPr>
          <w:trHeight w:val="212"/>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2"/>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0.78 - 3.65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1.02 - 3.89</w:t>
            </w:r>
          </w:p>
        </w:tc>
      </w:tr>
      <w:tr>
        <w:trPr>
          <w:trHeight w:val="212"/>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3.25</w:t>
            </w:r>
          </w:p>
        </w:tc>
      </w:tr>
    </w:tbl>
    <w:p>
      <w:pPr>
        <w:spacing w:after="0" w:line="194" w:lineRule="exact"/>
        <w:rPr>
          <w:sz w:val="20"/>
          <w:szCs w:val="20"/>
          <w:color w:val="auto"/>
        </w:rPr>
      </w:pPr>
    </w:p>
    <w:p>
      <w:pPr>
        <w:sectPr>
          <w:pgSz w:w="11900" w:h="16838" w:orient="portrait"/>
          <w:cols w:equalWidth="0" w:num="1">
            <w:col w:w="11240"/>
          </w:cols>
          <w:pgMar w:left="320" w:top="121" w:right="339" w:bottom="986"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98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for the common stock warrant liabilities measured at fair value using Level 3 unobservable inputs (in thousands):</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measurement</w:t>
            </w:r>
          </w:p>
        </w:tc>
        <w:tc>
          <w:tcPr>
            <w:tcW w:w="24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5"/>
        </w:trPr>
        <w:tc>
          <w:tcPr>
            <w:tcW w:w="20" w:type="dxa"/>
            <w:vAlign w:val="bottom"/>
          </w:tcPr>
          <w:p>
            <w:pPr>
              <w:spacing w:after="0"/>
              <w:rPr>
                <w:sz w:val="19"/>
                <w:szCs w:val="19"/>
                <w:color w:val="auto"/>
              </w:rPr>
            </w:pPr>
          </w:p>
        </w:tc>
        <w:tc>
          <w:tcPr>
            <w:tcW w:w="4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March 31, 2025</w:t>
            </w:r>
          </w:p>
        </w:tc>
        <w:tc>
          <w:tcPr>
            <w:tcW w:w="3040" w:type="dxa"/>
            <w:vAlign w:val="bottom"/>
            <w:gridSpan w:val="2"/>
            <w:shd w:val="clear" w:color="auto" w:fill="CCEEFF"/>
          </w:tcPr>
          <w:p>
            <w:pPr>
              <w:jc w:val="right"/>
              <w:ind w:right="4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13,030</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the changes in fair value of the warrant liabilities primarily resulted from change in the discount 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Contingent consideration liabilities relate to the Company's liabilities arising in connection with the CVRs issued as a result of the Merger. The contingent consideration is classified as Level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 CVRs (dollars in thousands):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8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12"/>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measurement</w:t>
            </w:r>
          </w:p>
        </w:tc>
        <w:tc>
          <w:tcPr>
            <w:tcW w:w="24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5"/>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March 31, 2025</w:t>
            </w:r>
          </w:p>
        </w:tc>
        <w:tc>
          <w:tcPr>
            <w:tcW w:w="24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3,400</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the changes in fair value of contingent consideration primarily resulted from changes in market data and revenue projections.</w:t>
      </w:r>
    </w:p>
    <w:p>
      <w:pPr>
        <w:spacing w:after="0" w:line="400" w:lineRule="exact"/>
        <w:rPr>
          <w:sz w:val="20"/>
          <w:szCs w:val="20"/>
          <w:color w:val="auto"/>
        </w:rPr>
      </w:pPr>
    </w:p>
    <w:p>
      <w:pPr>
        <w:ind w:left="460" w:hanging="454"/>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all periods presented herein, the Company did not use the two-class method to compute net loss attributable to common stockholders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the two-class method, for periods with net income attributable to common stockholders, basic net income attributable to common stockholders per share of common stock is computed by dividing the undistributed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 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periods presented, basic net loss attributable to common stockholders per share of common stock was the same as diluted net loss attributable to common stockholders per share of common stock.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32"/>
        </w:trPr>
        <w:tc>
          <w:tcPr>
            <w:tcW w:w="678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5"/>
        </w:trPr>
        <w:tc>
          <w:tcPr>
            <w:tcW w:w="6780" w:type="dxa"/>
            <w:vAlign w:val="bottom"/>
          </w:tcPr>
          <w:p>
            <w:pPr>
              <w:spacing w:after="0"/>
              <w:rPr>
                <w:sz w:val="17"/>
                <w:szCs w:val="17"/>
                <w:color w:val="auto"/>
              </w:rPr>
            </w:pPr>
          </w:p>
        </w:tc>
        <w:tc>
          <w:tcPr>
            <w:tcW w:w="164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57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Awards under equity incentive plans</w:t>
            </w:r>
          </w:p>
        </w:tc>
        <w:tc>
          <w:tcPr>
            <w:tcW w:w="164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7,734,741</w:t>
            </w:r>
          </w:p>
        </w:tc>
        <w:tc>
          <w:tcPr>
            <w:tcW w:w="170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4,366,537</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5,483,527</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5,603,729</w:t>
            </w:r>
          </w:p>
        </w:tc>
        <w:tc>
          <w:tcPr>
            <w:tcW w:w="0" w:type="dxa"/>
            <w:vAlign w:val="bottom"/>
          </w:tcPr>
          <w:p>
            <w:pPr>
              <w:spacing w:after="0"/>
              <w:rPr>
                <w:sz w:val="1"/>
                <w:szCs w:val="1"/>
                <w:color w:val="auto"/>
              </w:rPr>
            </w:pPr>
          </w:p>
        </w:tc>
      </w:tr>
      <w:tr>
        <w:trPr>
          <w:trHeight w:val="187"/>
        </w:trPr>
        <w:tc>
          <w:tcPr>
            <w:tcW w:w="67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Total securities excluded from the calculation of weighted average number of shares of</w:t>
            </w:r>
          </w:p>
        </w:tc>
        <w:tc>
          <w:tcPr>
            <w:tcW w:w="16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13,218,268</w:t>
            </w:r>
          </w:p>
        </w:tc>
        <w:tc>
          <w:tcPr>
            <w:tcW w:w="100" w:type="dxa"/>
            <w:vAlign w:val="bottom"/>
            <w:vMerge w:val="restart"/>
            <w:shd w:val="clear" w:color="auto" w:fill="CCEEFF"/>
          </w:tcPr>
          <w:p>
            <w:pPr>
              <w:spacing w:after="0"/>
              <w:rPr>
                <w:sz w:val="16"/>
                <w:szCs w:val="16"/>
                <w:color w:val="auto"/>
              </w:rPr>
            </w:pPr>
          </w:p>
        </w:tc>
        <w:tc>
          <w:tcPr>
            <w:tcW w:w="16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9,970,266</w:t>
            </w:r>
          </w:p>
        </w:tc>
        <w:tc>
          <w:tcPr>
            <w:tcW w:w="0" w:type="dxa"/>
            <w:vAlign w:val="bottom"/>
          </w:tcPr>
          <w:p>
            <w:pPr>
              <w:spacing w:after="0"/>
              <w:rPr>
                <w:sz w:val="1"/>
                <w:szCs w:val="1"/>
                <w:color w:val="auto"/>
              </w:rPr>
            </w:pPr>
          </w:p>
        </w:tc>
      </w:tr>
      <w:tr>
        <w:trPr>
          <w:trHeight w:val="231"/>
        </w:trPr>
        <w:tc>
          <w:tcPr>
            <w:tcW w:w="67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stock outstanding</w:t>
            </w: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reconciliation from net loss to basic net loss attributable to common stockholders per share of common stock and diluted net loss attributable to common stockholders per share of common stock for the three months ended March 31, 2025, and 2024, respectively, is as follows (in thousands):</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32"/>
        </w:trPr>
        <w:tc>
          <w:tcPr>
            <w:tcW w:w="678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5"/>
        </w:trPr>
        <w:tc>
          <w:tcPr>
            <w:tcW w:w="67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6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Basic and diluted net loss per share of common stock:</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basic and diluted</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12"/>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basic and diluted</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54,096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41,779</w:t>
            </w:r>
          </w:p>
        </w:tc>
      </w:tr>
      <w:tr>
        <w:trPr>
          <w:trHeight w:val="205"/>
        </w:trPr>
        <w:tc>
          <w:tcPr>
            <w:tcW w:w="6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1000" w:type="dxa"/>
            <w:vAlign w:val="bottom"/>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(0.06)</w:t>
            </w:r>
          </w:p>
        </w:tc>
        <w:tc>
          <w:tcPr>
            <w:tcW w:w="44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460" w:hanging="454"/>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a straight-line basis over the lease term. The Company’s leases have remaining lease terms of less than 1 year and up to approximately 4 years, some of which include options to extend the leases for up to 5 years, and some which include options to terminate the leases within 1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60" w:type="dxa"/>
            <w:vAlign w:val="bottom"/>
          </w:tcPr>
          <w:p>
            <w:pPr>
              <w:spacing w:after="0"/>
              <w:rPr>
                <w:sz w:val="24"/>
                <w:szCs w:val="24"/>
                <w:color w:val="auto"/>
              </w:rPr>
            </w:pPr>
          </w:p>
        </w:tc>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 w:type="dxa"/>
            <w:vAlign w:val="bottom"/>
            <w:vMerge w:val="restart"/>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6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67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Finance lease cost:</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6780" w:type="dxa"/>
            <w:vAlign w:val="bottom"/>
            <w:tcBorders>
              <w:top w:val="single" w:sz="8" w:color="CCEEFF"/>
            </w:tcBorders>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finance lease cost</w:t>
            </w: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6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67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lease costs</w:t>
            </w:r>
          </w:p>
        </w:tc>
        <w:tc>
          <w:tcPr>
            <w:tcW w:w="280" w:type="dxa"/>
            <w:vAlign w:val="bottom"/>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127</w:t>
            </w:r>
          </w:p>
        </w:tc>
        <w:tc>
          <w:tcPr>
            <w:tcW w:w="44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2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00" w:type="dxa"/>
            <w:vAlign w:val="bottom"/>
            <w:gridSpan w:val="2"/>
          </w:tcPr>
          <w:p>
            <w:pPr>
              <w:spacing w:after="0"/>
              <w:rPr>
                <w:sz w:val="17"/>
                <w:szCs w:val="17"/>
                <w:color w:val="auto"/>
              </w:rPr>
            </w:pPr>
          </w:p>
        </w:tc>
        <w:tc>
          <w:tcPr>
            <w:tcW w:w="1040" w:type="dxa"/>
            <w:vAlign w:val="bottom"/>
            <w:tcBorders>
              <w:top w:val="single" w:sz="8" w:color="auto"/>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variable lease costs</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vMerge w:val="continue"/>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80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weighted average remaining lease term and weighted average discount 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1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Property and equipment, at cost</w:t>
            </w:r>
          </w:p>
        </w:tc>
        <w:tc>
          <w:tcPr>
            <w:tcW w:w="1560" w:type="dxa"/>
            <w:vAlign w:val="bottom"/>
            <w:gridSpan w:val="3"/>
          </w:tcPr>
          <w:p>
            <w:pPr>
              <w:jc w:val="right"/>
              <w:ind w:right="7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1,031</w:t>
            </w:r>
          </w:p>
        </w:tc>
        <w:tc>
          <w:tcPr>
            <w:tcW w:w="2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1,031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gridSpan w:val="3"/>
          </w:tcPr>
          <w:p>
            <w:pPr>
              <w:jc w:val="right"/>
              <w:ind w:right="7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vMerge w:val="continue"/>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3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right w:val="single" w:sz="8" w:color="CCEEFF"/>
            </w:tcBorders>
            <w:shd w:val="clear" w:color="auto" w:fill="CCEEFF"/>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1,636</w:t>
            </w:r>
          </w:p>
        </w:tc>
        <w:tc>
          <w:tcPr>
            <w:tcW w:w="220" w:type="dxa"/>
            <w:vAlign w:val="bottom"/>
            <w:tcBorders>
              <w:left w:val="single" w:sz="8" w:color="CCEEFF"/>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657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operating lease right-of-use assets</w:t>
            </w:r>
          </w:p>
        </w:tc>
        <w:tc>
          <w:tcPr>
            <w:tcW w:w="1320" w:type="dxa"/>
            <w:vAlign w:val="bottom"/>
            <w:gridSpan w:val="2"/>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1,636</w:t>
            </w:r>
          </w:p>
        </w:tc>
        <w:tc>
          <w:tcPr>
            <w:tcW w:w="2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657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6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560" w:type="dxa"/>
            <w:vAlign w:val="bottom"/>
            <w:gridSpan w:val="3"/>
          </w:tcPr>
          <w:p>
            <w:pPr>
              <w:jc w:val="right"/>
              <w:ind w:right="7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1,747</w:t>
            </w:r>
          </w:p>
        </w:tc>
        <w:tc>
          <w:tcPr>
            <w:tcW w:w="2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792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vMerge w:val="continue"/>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Operating leases (in years)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vMerge w:val="continue"/>
          </w:tcPr>
          <w:p>
            <w:pPr>
              <w:spacing w:after="0"/>
              <w:rPr>
                <w:sz w:val="18"/>
                <w:szCs w:val="18"/>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3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4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595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2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lease payments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2,152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42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Lease liabilities</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left w:val="single" w:sz="8" w:color="CCEEFF"/>
            </w:tcBorders>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1,747</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jc w:val="right"/>
              <w:ind w:right="792"/>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800" w:hanging="794"/>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&amp; Intangible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balance was $4.7 million as of March 31, 2025, and December 31, 2024.</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2025, and December 31, 2024, non-amortizable intangible assets of $2.0 million related to in-process research and development associated with the Merger.</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and December 31, 2024, the Company had a definite-lived intangible asset, net related to the acquisition of OLPRUVA as a result of the Merger of $60.0 million and $61.3 million, respectively. This is amortized on a straight-line basis over the OLPRUVA patent life of 13 years and is reviewed periodically for impairment. Amortization expense is recorded as intangible asset amortization in the unaudited condensed consolidated statements of operations and was $1.3 million and $1.5 million for the three months ended March 31, 2025 and 2024, respectively.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XOMA License Agreement, the Company owed XOMA a royalty payment of $6.0 million upon approval of MIPLYFFA, which was paid in October 2024. This definite-lived intangible asset is amortized on a straight-line basis over the MIPLYFFA patent life of approximately five years a nd is reviewed periodically for impairment. Amortization expense is recorded as intangible asset amortization in the unaudited condensed consolidated statements of operations and was $0.3 million for the three months ended March 31, 2025 . No amortization expense related to this definite-lived intangible asset was recognized for the three months ended March 31, 2024 .</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definite-lived intangible assets that are subject to amortization have been reviewed for impairment whenever events or changes in circumstances have indicated that their carrying amounts may not be recoverable. The Company’s historical sales experience related to OLPRUVA resulted in management preparing an estimate of future cash flows used to assess the recoverability of such asset. Future cash flows specific to OLPRUVA, which most significantly includes an estimate of forecasted revenues, are based on reasonable and supportable assumptions regarding the cash flows expected to result from the use of the asset and its eventual disposition. As a result of the Company’s analysis, the asset was deemed to be fully recoverable and no impairments were recorded by the Company as of and for the three months ended March 31, 2025, and 2024.</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intangible assets subject to amortization, estimated amortization expense for the five fiscal years subsequent to March 31, 2025, is expected to be as follows:</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22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bl>
    <w:p>
      <w:pPr>
        <w:spacing w:after="0" w:line="200" w:lineRule="exact"/>
        <w:rPr>
          <w:sz w:val="20"/>
          <w:szCs w:val="20"/>
          <w:color w:val="auto"/>
        </w:rPr>
      </w:pPr>
    </w:p>
    <w:p>
      <w:pPr>
        <w:spacing w:after="0" w:line="234" w:lineRule="exact"/>
        <w:rPr>
          <w:sz w:val="20"/>
          <w:szCs w:val="20"/>
          <w:color w:val="auto"/>
        </w:rPr>
      </w:pPr>
    </w:p>
    <w:p>
      <w:pPr>
        <w:ind w:left="960" w:hanging="954"/>
        <w:spacing w:after="0"/>
        <w:tabs>
          <w:tab w:leader="none" w:pos="9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the AZSTARYS License Agreement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September 2024, the Company became engaged in a legal dispute regarding the AZSTARYS License Agreement. The litigation is currently in the discovery phase. The Company cannot predict with certainty the timing or ultimate outcome of this litigation or its potential impact on the Company's business, financial condition, or results of operations. At this time, the Company has not recorded any accrual for contingent liability associated with this matter. The AZSTARYS License Agreement remains in effect during this litigation, and both parties continue to perform their respective obligations thereunder. However, there can be no assurance that this dispute will not have an adverse impact on the Company's relationship with Commave or on the Company's business. The Company will continue to monitor developments in this matter and will assess the potential impact on the Company's financial statements in future periods. The Company expects to incur significant legal expenses in connection with this litigation, which may materially affect its results of operations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no accruals were made related to commitments and contingencies.</w:t>
      </w:r>
    </w:p>
    <w:p>
      <w:pPr>
        <w:spacing w:after="0" w:line="200" w:lineRule="exact"/>
        <w:rPr>
          <w:sz w:val="20"/>
          <w:szCs w:val="20"/>
          <w:color w:val="auto"/>
        </w:rPr>
      </w:pPr>
    </w:p>
    <w:p>
      <w:pPr>
        <w:spacing w:after="0" w:line="254" w:lineRule="exact"/>
        <w:rPr>
          <w:sz w:val="20"/>
          <w:szCs w:val="20"/>
          <w:color w:val="auto"/>
        </w:rPr>
      </w:pPr>
    </w:p>
    <w:p>
      <w:pPr>
        <w:ind w:left="460" w:hanging="454"/>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March 31, 2025, through May 13, 2025, the date the accompanying unaudited condensed consolidated financial statements were issued. During this period, other than the consummation of the sale of the PRV as disclosed in Note A, there were no subsequent events that required recognition in the accompanying unaudited condensed consolidated financial statements, nor were there any additional non-recognized subsequent events that required disclosure.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2024, filed with the SEC on March 12, 2025, our actual results could differ materially from the results described in or implied by the forward-looking statements contained in the following discussion and analysis.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commercial-stage company focused on addressing unmet needs for the treatment of rare diseases. Our mission is to bring life-changing therapeutics to people living with rare diseases. With data-driven development and commercialization strategies, we are overcoming complex drug development challenges to make new therapies available to the rare disease community. We have a diverse portfolio of products and product candidates, which includes pre-clinical, clinical, and commercial stage assets. Our team has specialized expertise and a track record of success in advancing promising therapies that face complex clinical, regulatory, and commercial challenges with an approach that balances science with patient need.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five-year strategic plan is focused on the continued transformation of Zevra into a leading rare-disease company. In addition to the commercialization of OLPRUVA and the approval and subsequent launch of MIPLYFFA, in the third quarter of 2024 we discontinued our in-house drug discovery activities and closed our laboratory facilities in Iowa and Virginia to prioritize near-term resources for our late-stage clinical development and commercial opportunities. In the future, we plan to outsource our discovery and early development activities and further expand our pipeline through both internal development and through our business development activities to collaborate, partner, and potentially acquire additional assets. We intend to target assets that we believe will allow us to leverage the expertise and infrastructure that we have built to help mitigate risk and enhance our probability of success. If we are successful, expanding our pipeline could be accretive to our value proposition and has the potential to create incremental long-term value for stockholders.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first quarter of 2025, we withdrew the NDA for APADAZ, our approved product for the treatment of pain based on benzhydrocodone, our prodrug of hydrocodone. While this product has not been commercially available over the last few years, this decision eliminates all regulatory activities needed to maintain the approval, reducing costs for a product where currently there is not an economically viable addressable market. We will continue to optimize and curate our IP portfolio through a variety of avenues to extract value for the benefit of shareholders, as demonstrated through these recent activities. In addition, as part of our ongoing IP portfolio review, we licensed certain IP related to our pre-clinical stage prodrug of dextrorphan in April 2025 to an undisclosed party for an upfront payment of $250,000, potential future regulatory milestones of up to $8.45 million and single-digit royalties on net sales.</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September 20, 2024, the FDA approved the New Drug Application (“NDA”) for MIPLYFFA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(arimoclomol), for use in combination with miglustat for the treatment of neurological manifestations of Niemann-Pick disease type C (“NPC”) in adult and pediatric patients 2 years of age and older. MIPLYFFA is an orally-delivered treatment for NPC, which is an ultra-rare and progressive neurodegenerative disease. In connection with this approval, we received a transferable rare pediatric disease priority review voucher (“PRV”). On April 1, 2025, we consummated the sale of the PRV to a buyer, resulting in net proceeds of $148.3 million to the Company. MIPLYFFA has also been granted orphan medical product designation for the treatment of NPC by the European Commission. In November 2024, MIPLYFFA became commercially available for dispense.</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On August 30, 2023, we entered into an Agreement and Plan of Merger (the “Merger Agreement”) with Acer Therapeutics Inc. (“Acer”). On November 17, 2023 (the “Closing Date”), we completed the acquisition of Acer (the “Merger”). Pursuant to the Merger Agreement, Acer continues as a wholly-owned subsidiary of Zevra. The Merger included the acquisition of OLPRUVA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May 2022, we purchased all of the assets and operations of Orphazyme A/S (“Orphazyme”) related to arimoclomol and agreed to assume an estimated reserve clawback liability of $5.2 million related to revenue generated from Orphazyme’s program in France, Accès Compassionnel (“French AC”).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built a diverse portfolio of products and product candidates through a combination of internal development and strategic investments through acquisition. For example, we have employed our proprietary Ligand Activated Technology platform to develop approved products (e.g., AZSTARYS) and clinical development candidates (KP1077IH and KP1077N). Through our business development efforts, we have added commercial products (MIPLYFFA and OLPRUVA) and a clinical development candidate (celiprolol). We furthermore have a variety of product candidates and compounds that are clinical-stage and designed to address a variety of rare diseases and other indications.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commercial products and active development assets are summarized in the table below:</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Zevra Commercial and Active Development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Parent Drug</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 Candidate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Next Milestone(s)</w:t>
            </w:r>
          </w:p>
        </w:tc>
        <w:tc>
          <w:tcPr>
            <w:tcW w:w="0" w:type="dxa"/>
            <w:vAlign w:val="bottom"/>
          </w:tcPr>
          <w:p>
            <w:pPr>
              <w:spacing w:after="0"/>
              <w:rPr>
                <w:sz w:val="1"/>
                <w:szCs w:val="1"/>
                <w:color w:val="auto"/>
              </w:rPr>
            </w:pPr>
          </w:p>
        </w:tc>
      </w:tr>
      <w:tr>
        <w:trPr>
          <w:trHeight w:val="127"/>
        </w:trPr>
        <w:tc>
          <w:tcPr>
            <w:tcW w:w="18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Status</w:t>
            </w:r>
          </w:p>
        </w:tc>
        <w:tc>
          <w:tcPr>
            <w:tcW w:w="4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8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vMerge w:val="continue"/>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82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Niemann-Pick</w:t>
            </w:r>
          </w:p>
        </w:tc>
        <w:tc>
          <w:tcPr>
            <w:tcW w:w="1720" w:type="dxa"/>
            <w:vAlign w:val="bottom"/>
            <w:shd w:val="clear" w:color="auto" w:fill="CCEEFF"/>
          </w:tcPr>
          <w:p>
            <w:pPr>
              <w:spacing w:after="0"/>
              <w:rPr>
                <w:sz w:val="16"/>
                <w:szCs w:val="16"/>
                <w:color w:val="auto"/>
              </w:rPr>
            </w:pPr>
          </w:p>
        </w:tc>
        <w:tc>
          <w:tcPr>
            <w:tcW w:w="2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FDA Approved</w:t>
            </w:r>
          </w:p>
        </w:tc>
        <w:tc>
          <w:tcPr>
            <w:tcW w:w="418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Tracking Commercial</w:t>
            </w:r>
          </w:p>
        </w:tc>
        <w:tc>
          <w:tcPr>
            <w:tcW w:w="0" w:type="dxa"/>
            <w:vAlign w:val="bottom"/>
          </w:tcPr>
          <w:p>
            <w:pPr>
              <w:spacing w:after="0"/>
              <w:rPr>
                <w:sz w:val="1"/>
                <w:szCs w:val="1"/>
                <w:color w:val="auto"/>
              </w:rPr>
            </w:pPr>
          </w:p>
        </w:tc>
      </w:tr>
      <w:tr>
        <w:trPr>
          <w:trHeight w:val="106"/>
        </w:trPr>
        <w:tc>
          <w:tcPr>
            <w:tcW w:w="182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4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Progress</w:t>
            </w:r>
          </w:p>
        </w:tc>
        <w:tc>
          <w:tcPr>
            <w:tcW w:w="0" w:type="dxa"/>
            <w:vAlign w:val="bottom"/>
          </w:tcPr>
          <w:p>
            <w:pPr>
              <w:spacing w:after="0"/>
              <w:rPr>
                <w:sz w:val="1"/>
                <w:szCs w:val="1"/>
                <w:color w:val="auto"/>
              </w:rPr>
            </w:pPr>
          </w:p>
        </w:tc>
      </w:tr>
      <w:tr>
        <w:trPr>
          <w:trHeight w:val="125"/>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Arimoclomol</w:t>
            </w:r>
          </w:p>
        </w:tc>
        <w:tc>
          <w:tcPr>
            <w:tcW w:w="14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disease type C</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MIPLYFFA</w:t>
            </w:r>
          </w:p>
        </w:tc>
        <w:tc>
          <w:tcPr>
            <w:tcW w:w="2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European Expanded</w:t>
            </w:r>
          </w:p>
        </w:tc>
        <w:tc>
          <w:tcPr>
            <w:tcW w:w="4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8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720" w:type="dxa"/>
            <w:vAlign w:val="bottom"/>
            <w:vMerge w:val="continue"/>
            <w:shd w:val="clear" w:color="auto" w:fill="CCEEFF"/>
          </w:tcPr>
          <w:p>
            <w:pPr>
              <w:spacing w:after="0"/>
              <w:rPr>
                <w:sz w:val="7"/>
                <w:szCs w:val="7"/>
                <w:color w:val="auto"/>
              </w:rPr>
            </w:pPr>
          </w:p>
        </w:tc>
        <w:tc>
          <w:tcPr>
            <w:tcW w:w="2040" w:type="dxa"/>
            <w:vAlign w:val="bottom"/>
            <w:vMerge w:val="continue"/>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82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(NPC)</w:t>
            </w:r>
          </w:p>
        </w:tc>
        <w:tc>
          <w:tcPr>
            <w:tcW w:w="1720" w:type="dxa"/>
            <w:vAlign w:val="bottom"/>
            <w:shd w:val="clear" w:color="auto" w:fill="CCEEFF"/>
          </w:tcPr>
          <w:p>
            <w:pPr>
              <w:spacing w:after="0"/>
              <w:rPr>
                <w:sz w:val="9"/>
                <w:szCs w:val="9"/>
                <w:color w:val="auto"/>
              </w:rPr>
            </w:pPr>
          </w:p>
        </w:tc>
        <w:tc>
          <w:tcPr>
            <w:tcW w:w="2040" w:type="dxa"/>
            <w:vAlign w:val="bottom"/>
            <w:vMerge w:val="continue"/>
            <w:shd w:val="clear" w:color="auto" w:fill="CCEEFF"/>
          </w:tcPr>
          <w:p>
            <w:pPr>
              <w:spacing w:after="0"/>
              <w:rPr>
                <w:sz w:val="9"/>
                <w:szCs w:val="9"/>
                <w:color w:val="auto"/>
              </w:rPr>
            </w:pPr>
          </w:p>
        </w:tc>
        <w:tc>
          <w:tcPr>
            <w:tcW w:w="4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Access Program (“EAP”)</w:t>
            </w:r>
          </w:p>
        </w:tc>
        <w:tc>
          <w:tcPr>
            <w:tcW w:w="4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Target MAA Submission in H2 2025</w:t>
            </w:r>
          </w:p>
        </w:tc>
        <w:tc>
          <w:tcPr>
            <w:tcW w:w="0" w:type="dxa"/>
            <w:vAlign w:val="bottom"/>
          </w:tcPr>
          <w:p>
            <w:pPr>
              <w:spacing w:after="0"/>
              <w:rPr>
                <w:sz w:val="1"/>
                <w:szCs w:val="1"/>
                <w:color w:val="auto"/>
              </w:rPr>
            </w:pPr>
          </w:p>
        </w:tc>
      </w:tr>
      <w:tr>
        <w:trPr>
          <w:trHeight w:val="105"/>
        </w:trPr>
        <w:tc>
          <w:tcPr>
            <w:tcW w:w="1820" w:type="dxa"/>
            <w:vAlign w:val="bottom"/>
            <w:tcBorders>
              <w:bottom w:val="single" w:sz="8" w:color="auto"/>
            </w:tcBorders>
            <w:shd w:val="clear" w:color="auto" w:fill="CCEEFF"/>
          </w:tcPr>
          <w:p>
            <w:pPr>
              <w:spacing w:after="0"/>
              <w:rPr>
                <w:sz w:val="9"/>
                <w:szCs w:val="9"/>
                <w:color w:val="auto"/>
              </w:rPr>
            </w:pPr>
          </w:p>
        </w:tc>
        <w:tc>
          <w:tcPr>
            <w:tcW w:w="1480" w:type="dxa"/>
            <w:vAlign w:val="bottom"/>
            <w:tcBorders>
              <w:bottom w:val="single" w:sz="8" w:color="auto"/>
            </w:tcBorders>
            <w:shd w:val="clear" w:color="auto" w:fill="CCEEFF"/>
          </w:tcPr>
          <w:p>
            <w:pPr>
              <w:spacing w:after="0"/>
              <w:rPr>
                <w:sz w:val="9"/>
                <w:szCs w:val="9"/>
                <w:color w:val="auto"/>
              </w:rPr>
            </w:pPr>
          </w:p>
        </w:tc>
        <w:tc>
          <w:tcPr>
            <w:tcW w:w="1720" w:type="dxa"/>
            <w:vAlign w:val="bottom"/>
            <w:tcBorders>
              <w:bottom w:val="single" w:sz="8" w:color="auto"/>
            </w:tcBorders>
            <w:shd w:val="clear" w:color="auto" w:fill="CCEEFF"/>
          </w:tcPr>
          <w:p>
            <w:pPr>
              <w:spacing w:after="0"/>
              <w:rPr>
                <w:sz w:val="9"/>
                <w:szCs w:val="9"/>
                <w:color w:val="auto"/>
              </w:rPr>
            </w:pPr>
          </w:p>
        </w:tc>
        <w:tc>
          <w:tcPr>
            <w:tcW w:w="2040" w:type="dxa"/>
            <w:vAlign w:val="bottom"/>
            <w:tcBorders>
              <w:bottom w:val="single" w:sz="8" w:color="auto"/>
            </w:tcBorders>
            <w:vMerge w:val="continue"/>
            <w:shd w:val="clear" w:color="auto" w:fill="CCEEFF"/>
          </w:tcPr>
          <w:p>
            <w:pPr>
              <w:spacing w:after="0"/>
              <w:rPr>
                <w:sz w:val="9"/>
                <w:szCs w:val="9"/>
                <w:color w:val="auto"/>
              </w:rPr>
            </w:pPr>
          </w:p>
        </w:tc>
        <w:tc>
          <w:tcPr>
            <w:tcW w:w="41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Sodium phenylbutyrate</w:t>
            </w:r>
          </w:p>
        </w:tc>
        <w:tc>
          <w:tcPr>
            <w:tcW w:w="1480" w:type="dxa"/>
            <w:vAlign w:val="bottom"/>
          </w:tcPr>
          <w:p>
            <w:pPr>
              <w:ind w:left="80"/>
              <w:spacing w:after="0" w:line="187" w:lineRule="exact"/>
              <w:rPr>
                <w:sz w:val="20"/>
                <w:szCs w:val="20"/>
                <w:color w:val="auto"/>
              </w:rPr>
            </w:pPr>
            <w:r>
              <w:rPr>
                <w:rFonts w:ascii="Times New Roman" w:cs="Times New Roman" w:eastAsia="Times New Roman" w:hAnsi="Times New Roman"/>
                <w:sz w:val="18"/>
                <w:szCs w:val="18"/>
                <w:color w:val="auto"/>
              </w:rPr>
              <w:t>Urea Cycle</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OLPRUVA</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FDA Approved</w:t>
            </w:r>
          </w:p>
        </w:tc>
        <w:tc>
          <w:tcPr>
            <w:tcW w:w="41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Tracking Commercial</w:t>
            </w:r>
          </w:p>
        </w:tc>
        <w:tc>
          <w:tcPr>
            <w:tcW w:w="0" w:type="dxa"/>
            <w:vAlign w:val="bottom"/>
          </w:tcPr>
          <w:p>
            <w:pPr>
              <w:spacing w:after="0"/>
              <w:rPr>
                <w:sz w:val="1"/>
                <w:szCs w:val="1"/>
                <w:color w:val="auto"/>
              </w:rPr>
            </w:pPr>
          </w:p>
        </w:tc>
      </w:tr>
      <w:tr>
        <w:trPr>
          <w:trHeight w:val="125"/>
        </w:trPr>
        <w:tc>
          <w:tcPr>
            <w:tcW w:w="1820" w:type="dxa"/>
            <w:vAlign w:val="bottom"/>
            <w:vMerge w:val="continue"/>
          </w:tcPr>
          <w:p>
            <w:pPr>
              <w:spacing w:after="0"/>
              <w:rPr>
                <w:sz w:val="10"/>
                <w:szCs w:val="10"/>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Disorders (UCD)</w:t>
            </w:r>
          </w:p>
        </w:tc>
        <w:tc>
          <w:tcPr>
            <w:tcW w:w="1720" w:type="dxa"/>
            <w:vAlign w:val="bottom"/>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Progress</w:t>
            </w:r>
          </w:p>
        </w:tc>
        <w:tc>
          <w:tcPr>
            <w:tcW w:w="0" w:type="dxa"/>
            <w:vAlign w:val="bottom"/>
          </w:tcPr>
          <w:p>
            <w:pPr>
              <w:spacing w:after="0"/>
              <w:rPr>
                <w:sz w:val="1"/>
                <w:szCs w:val="1"/>
                <w:color w:val="auto"/>
              </w:rPr>
            </w:pPr>
          </w:p>
        </w:tc>
      </w:tr>
      <w:tr>
        <w:trPr>
          <w:trHeight w:val="105"/>
        </w:trPr>
        <w:tc>
          <w:tcPr>
            <w:tcW w:w="18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820" w:type="dxa"/>
            <w:vAlign w:val="bottom"/>
            <w:shd w:val="clear" w:color="auto" w:fill="CCEEFF"/>
          </w:tcPr>
          <w:p>
            <w:pPr>
              <w:spacing w:after="0"/>
              <w:rPr>
                <w:sz w:val="16"/>
                <w:szCs w:val="16"/>
                <w:color w:val="auto"/>
              </w:rPr>
            </w:pPr>
          </w:p>
        </w:tc>
        <w:tc>
          <w:tcPr>
            <w:tcW w:w="1480" w:type="dxa"/>
            <w:vAlign w:val="bottom"/>
            <w:shd w:val="clear" w:color="auto" w:fill="CCEEFF"/>
          </w:tcPr>
          <w:p>
            <w:pPr>
              <w:ind w:left="80"/>
              <w:spacing w:after="0" w:line="187" w:lineRule="exact"/>
              <w:rPr>
                <w:sz w:val="20"/>
                <w:szCs w:val="20"/>
                <w:color w:val="auto"/>
              </w:rPr>
            </w:pPr>
            <w:r>
              <w:rPr>
                <w:rFonts w:ascii="Times New Roman" w:cs="Times New Roman" w:eastAsia="Times New Roman" w:hAnsi="Times New Roman"/>
                <w:sz w:val="18"/>
                <w:szCs w:val="18"/>
                <w:color w:val="auto"/>
              </w:rPr>
              <w:t>Vascular Ehlers</w:t>
            </w:r>
          </w:p>
        </w:tc>
        <w:tc>
          <w:tcPr>
            <w:tcW w:w="17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Celiprolol</w:t>
            </w:r>
          </w:p>
        </w:tc>
        <w:tc>
          <w:tcPr>
            <w:tcW w:w="1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Danlos Syndrome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Celiprolol</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Clinical - Phase 3</w:t>
            </w:r>
          </w:p>
        </w:tc>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3 Ongoing</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(VEDS)</w:t>
            </w:r>
          </w:p>
        </w:tc>
        <w:tc>
          <w:tcPr>
            <w:tcW w:w="172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Serdexmethylphenidate</w:t>
            </w:r>
          </w:p>
        </w:tc>
        <w:tc>
          <w:tcPr>
            <w:tcW w:w="1480" w:type="dxa"/>
            <w:vAlign w:val="bottom"/>
          </w:tcPr>
          <w:p>
            <w:pPr>
              <w:ind w:left="80"/>
              <w:spacing w:after="0" w:line="187" w:lineRule="exact"/>
              <w:rPr>
                <w:sz w:val="20"/>
                <w:szCs w:val="20"/>
                <w:color w:val="auto"/>
              </w:rPr>
            </w:pPr>
            <w:r>
              <w:rPr>
                <w:rFonts w:ascii="Times New Roman" w:cs="Times New Roman" w:eastAsia="Times New Roman" w:hAnsi="Times New Roman"/>
                <w:sz w:val="18"/>
                <w:szCs w:val="18"/>
                <w:color w:val="auto"/>
              </w:rPr>
              <w:t>Idiopathic</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KP1077IH</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Clinical - Phase 2</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Phase 3 Trial Ready; Seeking Strategic Alternatives</w:t>
            </w:r>
          </w:p>
        </w:tc>
        <w:tc>
          <w:tcPr>
            <w:tcW w:w="0" w:type="dxa"/>
            <w:vAlign w:val="bottom"/>
          </w:tcPr>
          <w:p>
            <w:pPr>
              <w:spacing w:after="0"/>
              <w:rPr>
                <w:sz w:val="1"/>
                <w:szCs w:val="1"/>
                <w:color w:val="auto"/>
              </w:rPr>
            </w:pPr>
          </w:p>
        </w:tc>
      </w:tr>
      <w:tr>
        <w:trPr>
          <w:trHeight w:val="125"/>
        </w:trPr>
        <w:tc>
          <w:tcPr>
            <w:tcW w:w="1820" w:type="dxa"/>
            <w:vAlign w:val="bottom"/>
            <w:vMerge w:val="continue"/>
          </w:tcPr>
          <w:p>
            <w:pPr>
              <w:spacing w:after="0"/>
              <w:rPr>
                <w:sz w:val="10"/>
                <w:szCs w:val="10"/>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Hypersomnia (IH)</w:t>
            </w:r>
          </w:p>
        </w:tc>
        <w:tc>
          <w:tcPr>
            <w:tcW w:w="1720" w:type="dxa"/>
            <w:vAlign w:val="bottom"/>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4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20" w:type="dxa"/>
            <w:vAlign w:val="bottom"/>
            <w:tcBorders>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Serdexmethylphenidate</w:t>
            </w:r>
          </w:p>
        </w:tc>
        <w:tc>
          <w:tcPr>
            <w:tcW w:w="1480" w:type="dxa"/>
            <w:vAlign w:val="bottom"/>
            <w:tcBorders>
              <w:bottom w:val="single" w:sz="8" w:color="auto"/>
            </w:tcBorders>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color w:val="auto"/>
              </w:rPr>
              <w:t>Narcolepsy</w:t>
            </w:r>
          </w:p>
        </w:tc>
        <w:tc>
          <w:tcPr>
            <w:tcW w:w="1720" w:type="dxa"/>
            <w:vAlign w:val="bottom"/>
            <w:tcBorders>
              <w:bottom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KP1077N</w:t>
            </w:r>
          </w:p>
        </w:tc>
        <w:tc>
          <w:tcPr>
            <w:tcW w:w="2040" w:type="dxa"/>
            <w:vAlign w:val="bottom"/>
            <w:tcBorders>
              <w:bottom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Clinical - Phase 1/2</w:t>
            </w:r>
          </w:p>
        </w:tc>
        <w:tc>
          <w:tcPr>
            <w:tcW w:w="4180" w:type="dxa"/>
            <w:vAlign w:val="bottom"/>
            <w:tcBorders>
              <w:bottom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Phase 3 Trial Potential; Seeking Strategic Alternatives</w:t>
            </w:r>
          </w:p>
        </w:tc>
        <w:tc>
          <w:tcPr>
            <w:tcW w:w="0" w:type="dxa"/>
            <w:vAlign w:val="bottom"/>
          </w:tcPr>
          <w:p>
            <w:pPr>
              <w:spacing w:after="0"/>
              <w:rPr>
                <w:sz w:val="1"/>
                <w:szCs w:val="1"/>
                <w:color w:val="auto"/>
              </w:rPr>
            </w:pPr>
          </w:p>
        </w:tc>
      </w:tr>
      <w:tr>
        <w:trPr>
          <w:trHeight w:val="187"/>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Serdexmethylphenidate</w:t>
            </w:r>
          </w:p>
        </w:tc>
        <w:tc>
          <w:tcPr>
            <w:tcW w:w="1480" w:type="dxa"/>
            <w:vAlign w:val="bottom"/>
          </w:tcPr>
          <w:p>
            <w:pPr>
              <w:ind w:left="80"/>
              <w:spacing w:after="0" w:line="187" w:lineRule="exact"/>
              <w:rPr>
                <w:sz w:val="20"/>
                <w:szCs w:val="20"/>
                <w:color w:val="auto"/>
              </w:rPr>
            </w:pPr>
            <w:r>
              <w:rPr>
                <w:rFonts w:ascii="Times New Roman" w:cs="Times New Roman" w:eastAsia="Times New Roman" w:hAnsi="Times New Roman"/>
                <w:sz w:val="18"/>
                <w:szCs w:val="18"/>
                <w:color w:val="auto"/>
              </w:rPr>
              <w:t>Attention Deficit</w:t>
            </w:r>
          </w:p>
        </w:tc>
        <w:tc>
          <w:tcPr>
            <w:tcW w:w="1720" w:type="dxa"/>
            <w:vAlign w:val="bottom"/>
          </w:tcPr>
          <w:p>
            <w:pPr>
              <w:spacing w:after="0"/>
              <w:rPr>
                <w:sz w:val="16"/>
                <w:szCs w:val="16"/>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FDA Approved and</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Collecting Royalties and</w:t>
            </w:r>
          </w:p>
        </w:tc>
        <w:tc>
          <w:tcPr>
            <w:tcW w:w="0" w:type="dxa"/>
            <w:vAlign w:val="bottom"/>
          </w:tcPr>
          <w:p>
            <w:pPr>
              <w:spacing w:after="0"/>
              <w:rPr>
                <w:sz w:val="1"/>
                <w:szCs w:val="1"/>
                <w:color w:val="auto"/>
              </w:rPr>
            </w:pPr>
          </w:p>
        </w:tc>
      </w:tr>
      <w:tr>
        <w:trPr>
          <w:trHeight w:val="106"/>
        </w:trPr>
        <w:tc>
          <w:tcPr>
            <w:tcW w:w="182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and Hyperactivity</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AZSTARYS</w:t>
            </w:r>
          </w:p>
        </w:tc>
        <w:tc>
          <w:tcPr>
            <w:tcW w:w="204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dexmethylphenidate</w:t>
            </w:r>
          </w:p>
        </w:tc>
        <w:tc>
          <w:tcPr>
            <w:tcW w:w="14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Partnered</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Milestones</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Disorder (ADHD)</w:t>
            </w:r>
          </w:p>
        </w:tc>
        <w:tc>
          <w:tcPr>
            <w:tcW w:w="17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4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2024, filed with the SEC on March 12, 2025, as updated by Part II, Item 1A. “Risk Factors”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MIPLYFFA</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1,800 individuals with NPC in the U.S. and Europe combined, of which approximately 900 are in the U.S. and 1,100 are in the EU, where there is a mature market with an approved treatment available for NPC. Of these, approximately 300 to 350 people have been diagnosed in the U.S. However, diagnostic challenges may affect the number of potential patients, and we believe that the availability of treatment options in the U.S. could increase awareness of the disease and assist in more accurately identifying patients.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20, 2024, the FDA approved the NDA for MIPLYFFA, an orally-delivered treatment, in combination with miglustat, for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previously disclosed sale of the PRV (“Asset Sale”). The Asset Sale was completed pursuant to the terms of an asset purchase agreement, dated February 26, 2025 (the “PRV Transfer Agreement”). Pursuant to the PRV Transfer Agreement, the Company received gross proceeds of $150.0 million from the buyer upon the closing of the Asset Sale.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therapies to treat NPC are desperately needed, and, for this reason, MIPLYFFA is currently being made available to NPC patients in France, Germany, and other EU member states under various EAPs. MIPLYFFA has also been granted orphan medical product designation for the treatment of NPC by the European Commission. As of March 31, 2025, there were a total of 122 enrollments to receive MIPLYFFA, which included conversion of all active participants in our U.S. EAP, which we expect to close by the end of the second quarter of 2025. Our commercial plans will focus on continuing to raise awareness among people who are living with NPC that are diagnosed and untreated, or undiagnosed. For MIPLYFFA, an enrollment is a prescription submitted to our specialty pharmacy, initiating the benefits investigation process to determine reimbursement and can lead to a 30-day paid dispense of MIPLYFFA.</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Soon after approval of MIPLYFFA, the FDA approved a second therapy for NPC, AQNEURSA, which is approved for the treatment of neurological manifestations of NPC in adults and pediatric patients weighing ≥15 kg and is marketed by IntraBio, Inc.</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commercialize both of our commercial products, MIPLYFFA and OLPRUVA, in the U.S., we have built, or are making arrangements with third parties to perform, marketing, sales, medical affairs, distribution, managerial and other non-technical capabilities.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Zevra holds global rights to develop and commercialize MIPLYFFA. We intend to seek regulatory approval for MIPLYFFA in the European Union (“EU”), and we are currently evaluating the potential to commercialize outside of the U.S. and/or to seek additional regulatory approvals to support future global commercialization opportunities. Our focus is currently on preparing for submission of a Marketing Authorisation Application, or MAA, in Europe in the second half of 2025.</w:t>
      </w:r>
    </w:p>
    <w:p>
      <w:pPr>
        <w:sectPr>
          <w:pgSz w:w="11900" w:h="16838" w:orient="portrait"/>
          <w:cols w:equalWidth="0" w:num="1">
            <w:col w:w="11240"/>
          </w:cols>
          <w:pgMar w:left="320" w:top="121" w:right="339" w:bottom="589"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589" w:gutter="0" w:footer="0" w:header="0"/>
          <w:type w:val="continuous"/>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MIPLYFFA summary:</w:t>
      </w:r>
    </w:p>
    <w:p>
      <w:pPr>
        <w:spacing w:after="0" w:line="213" w:lineRule="exact"/>
        <w:rPr>
          <w:sz w:val="20"/>
          <w:szCs w:val="20"/>
          <w:color w:val="auto"/>
        </w:rPr>
      </w:pPr>
    </w:p>
    <w:p>
      <w:pPr>
        <w:ind w:left="900" w:hanging="437"/>
        <w:spacing w:after="0" w:line="27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halting of disease progression. </w:t>
      </w:r>
      <w:r>
        <w:rPr>
          <w:rFonts w:ascii="Times New Roman" w:cs="Times New Roman" w:eastAsia="Times New Roman" w:hAnsi="Times New Roman"/>
          <w:sz w:val="18"/>
          <w:szCs w:val="18"/>
          <w:color w:val="auto"/>
        </w:rPr>
        <w:t>MIPLYFFA in combination with miglustat has demonstrated a halting of progression of the disease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12 months of treatment.</w:t>
      </w:r>
    </w:p>
    <w:p>
      <w:pPr>
        <w:spacing w:after="0" w:line="156" w:lineRule="exact"/>
        <w:rPr>
          <w:rFonts w:ascii="Times New Roman" w:cs="Times New Roman" w:eastAsia="Times New Roman" w:hAnsi="Times New Roman"/>
          <w:sz w:val="18"/>
          <w:szCs w:val="18"/>
          <w:color w:val="auto"/>
        </w:rPr>
      </w:pPr>
    </w:p>
    <w:p>
      <w:pPr>
        <w:ind w:left="900" w:hanging="437"/>
        <w:spacing w:after="0" w:line="27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flexible administration as an oral treatment. </w:t>
      </w:r>
      <w:r>
        <w:rPr>
          <w:rFonts w:ascii="Times New Roman" w:cs="Times New Roman" w:eastAsia="Times New Roman" w:hAnsi="Times New Roman"/>
          <w:sz w:val="18"/>
          <w:szCs w:val="18"/>
          <w:color w:val="auto"/>
        </w:rPr>
        <w:t>MIPLYFFA is administered as an oral capsule that can be swallowed whole, opened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contents mixed with foods or liquids, or delivered through a feeding tube.</w:t>
      </w:r>
    </w:p>
    <w:p>
      <w:pPr>
        <w:spacing w:after="0" w:line="156" w:lineRule="exact"/>
        <w:rPr>
          <w:rFonts w:ascii="Times New Roman" w:cs="Times New Roman" w:eastAsia="Times New Roman" w:hAnsi="Times New Roman"/>
          <w:sz w:val="18"/>
          <w:szCs w:val="18"/>
          <w:color w:val="auto"/>
        </w:rPr>
      </w:pPr>
    </w:p>
    <w:p>
      <w:pPr>
        <w:ind w:left="900" w:hanging="437"/>
        <w:spacing w:after="0" w:line="27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clinical experience with favorable safety data. </w:t>
      </w:r>
      <w:r>
        <w:rPr>
          <w:rFonts w:ascii="Times New Roman" w:cs="Times New Roman" w:eastAsia="Times New Roman" w:hAnsi="Times New Roman"/>
          <w:sz w:val="18"/>
          <w:szCs w:val="18"/>
          <w:color w:val="auto"/>
        </w:rPr>
        <w:t>There have been no safety findings of concern with more than 600 patients treated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clinical trials and through our EAPs.</w:t>
      </w:r>
    </w:p>
    <w:p>
      <w:pPr>
        <w:spacing w:after="0" w:line="156" w:lineRule="exact"/>
        <w:rPr>
          <w:rFonts w:ascii="Times New Roman" w:cs="Times New Roman" w:eastAsia="Times New Roman" w:hAnsi="Times New Roman"/>
          <w:sz w:val="18"/>
          <w:szCs w:val="18"/>
          <w:color w:val="auto"/>
        </w:rPr>
      </w:pPr>
    </w:p>
    <w:p>
      <w:pPr>
        <w:ind w:left="900" w:hanging="437"/>
        <w:spacing w:after="0" w:line="27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Advantageous regulatory designations. </w:t>
      </w:r>
      <w:r>
        <w:rPr>
          <w:rFonts w:ascii="Times New Roman" w:cs="Times New Roman" w:eastAsia="Times New Roman" w:hAnsi="Times New Roman"/>
          <w:sz w:val="18"/>
          <w:szCs w:val="18"/>
          <w:color w:val="auto"/>
        </w:rPr>
        <w:t>MIPLYFFA has been granted orphan medical product designation for the treatment of NPC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Commission. On April 1, 2025, we completed the sale of the PRV, which we received upon approval of MIPLYFFA.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OLPRUVA</w:t>
      </w:r>
    </w:p>
    <w:p>
      <w:pPr>
        <w:spacing w:after="0" w:line="221"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OLPRUVA (sodium phenylbutyrate) for oral suspension is approved in the U.S.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(5) minutes after preparation.</w:t>
      </w:r>
    </w:p>
    <w:p>
      <w:pPr>
        <w:spacing w:after="0" w:line="185"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U.S. While there are therapies currently approved for the treatment of UCDs - specifically RAVICTI, marketed by Amgen, Inc. (formerly Horizon Therapeutics) and PHEBURANE, marketed by Medunik USA - there remain unmet needs for this community of patients. OLPRUVA offers benefits over other UCD treatments by eliminating issues with palatability, offering improved portability with its single-dose envelopes, and it comes in a dosage personalized to the patient based on weight.</w:t>
      </w:r>
    </w:p>
    <w:p>
      <w:pPr>
        <w:spacing w:after="0" w:line="18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During the quarter ended December 31, 2023, we began generating revenue from the sale of OLPRUVA in the U.S. Zevra has a partnership with Relief Therapeutics, who has rights to commercialize OLPRUVA in various EU countries, if approved. In addition, Zevra was obligated to pay royalties of 10% of U.S. net sales up to a maximum of $45.0 million, plus specified regulatory milestones, for total payments to Relief of up to $56.5 million. On April 10, 2025, the rights to this royalty were sold to Soleus Capital Management L.P.</w:t>
      </w:r>
    </w:p>
    <w:p>
      <w:pPr>
        <w:spacing w:after="0" w:line="180"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During the first half of 2024, we initiated the commercial launch of OLPRUVA in the U.S. We have focused our initial efforts on the approximately 40 metabolic treatment centers of excellence (“COE”) across the United States, which treat the majority of UCD patients, to build awareness with physicians regarding the benefits of OLPRUVA. In the months since launch, our team has been able to engage with prescribers in more than 90% of these COEs. We have seen meaningful growth in reimbursement coverage, which was approximately 55% of U.S. covered lives at the time of acquisition, to now approximately 78%. In the third quarter of 2024, Zevra made a data-driven shift in our OLPRUVA commercial strategy to target specific patient segments that will receive the greatest benefit from OLPRUVA and face fewer reimbursement hurdles. To support this refinement in strategy, we focused our resources and promotional efforts in the third quarter to drive patient identification and to improve pull-through with payors. Specifically, we are targeting patients seeking greater lifestyle independence who could benefit from the “ammonia control on the go” that OLPRUVA offers.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OLPRUVA summary:</w:t>
      </w:r>
    </w:p>
    <w:p>
      <w:pPr>
        <w:spacing w:after="0" w:line="213" w:lineRule="exact"/>
        <w:rPr>
          <w:sz w:val="20"/>
          <w:szCs w:val="20"/>
          <w:color w:val="auto"/>
        </w:rPr>
      </w:pPr>
    </w:p>
    <w:p>
      <w:pPr>
        <w:ind w:left="900" w:hanging="437"/>
        <w:spacing w:after="0" w:line="27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available in the U.S for the treatment of certain types of UCDs. </w:t>
      </w:r>
      <w:r>
        <w:rPr>
          <w:rFonts w:ascii="Times New Roman" w:cs="Times New Roman" w:eastAsia="Times New Roman" w:hAnsi="Times New Roman"/>
          <w:sz w:val="18"/>
          <w:szCs w:val="18"/>
          <w:color w:val="auto"/>
        </w:rPr>
        <w:t>OLPRUVA is an adjunctive therapy for long-term management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adults and children weighing 20kg or greater with UCD from deficiencies of CPS, OTC, or AS.</w:t>
      </w:r>
    </w:p>
    <w:p>
      <w:pPr>
        <w:spacing w:after="0" w:line="156" w:lineRule="exact"/>
        <w:rPr>
          <w:rFonts w:ascii="Times New Roman" w:cs="Times New Roman" w:eastAsia="Times New Roman" w:hAnsi="Times New Roman"/>
          <w:sz w:val="18"/>
          <w:szCs w:val="18"/>
          <w:color w:val="auto"/>
        </w:rPr>
      </w:pPr>
    </w:p>
    <w:p>
      <w:pPr>
        <w:ind w:left="900" w:right="20" w:hanging="437"/>
        <w:spacing w:after="0" w:line="27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differentiated from currently available forms of phenylbutyrate. </w:t>
      </w:r>
      <w:r>
        <w:rPr>
          <w:rFonts w:ascii="Times New Roman" w:cs="Times New Roman" w:eastAsia="Times New Roman" w:hAnsi="Times New Roman"/>
          <w:sz w:val="18"/>
          <w:szCs w:val="18"/>
          <w:color w:val="auto"/>
        </w:rPr>
        <w:t>OLPRUVA is formulated to improve palatability while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a portable and discrete pre-measured dose.</w:t>
      </w:r>
    </w:p>
    <w:p>
      <w:pPr>
        <w:spacing w:after="0" w:line="156" w:lineRule="exact"/>
        <w:rPr>
          <w:rFonts w:ascii="Times New Roman" w:cs="Times New Roman" w:eastAsia="Times New Roman" w:hAnsi="Times New Roman"/>
          <w:sz w:val="18"/>
          <w:szCs w:val="18"/>
          <w:color w:val="auto"/>
        </w:rPr>
      </w:pPr>
    </w:p>
    <w:p>
      <w:pPr>
        <w:ind w:left="900" w:hanging="437"/>
        <w:spacing w:after="0" w:line="27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Zevra has assembled a team to support OLPRUVA and additional future commercial products. </w:t>
      </w:r>
      <w:r>
        <w:rPr>
          <w:rFonts w:ascii="Times New Roman" w:cs="Times New Roman" w:eastAsia="Times New Roman" w:hAnsi="Times New Roman"/>
          <w:sz w:val="18"/>
          <w:szCs w:val="18"/>
          <w:color w:val="auto"/>
        </w:rPr>
        <w:t>We have established an efficient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which is designed to fully service the patients and prescribers within the rare disease indications we are pursuing.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Celiprolol</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Merger with Acer included the acquisition of celiprolol. We are advancing celiprolol as an investigational product candidate for the treatment of VEDS in patients with a confirmed type III collagen (COL3A1) mutation. Celiprolol is a selective adrenergic modulator (“SAM”) and, if we receive the first approval in the U.S. for celiprolol, we believe it would be deemed a new chemical entity (“NCE”) in the U.S. Celiprolol is currently approved in certain EU states for the treatment of hypertension and angina.</w:t>
      </w:r>
    </w:p>
    <w:p>
      <w:pPr>
        <w:spacing w:after="0" w:line="180"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Ehlers-Danlos Syndrome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The incidence of VEDS is estimated to be one in 50,000 to 200,000 people. There are approximately 7,500 patients in the U.S.</w:t>
      </w:r>
    </w:p>
    <w:p>
      <w:pPr>
        <w:spacing w:after="0" w:line="185"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and thus, a pharmacologic intervention that reduces the rate of events would be clinically meaningful.</w:t>
      </w:r>
    </w:p>
    <w:p>
      <w:pPr>
        <w:spacing w:after="0" w:line="185"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an U.S.-based prospective, randomized, double-blind, placebo-controlled, decentralized clinical trial in patients with COL3A1 positive VEDS, and sought the FDA’s opinion on various proposed design features of the study.</w:t>
      </w:r>
    </w:p>
    <w:p>
      <w:pPr>
        <w:spacing w:after="0" w:line="18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Based on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U.S. for the treatment of patients with COL3A1-positive VEDS.</w:t>
      </w:r>
    </w:p>
    <w:p>
      <w:pPr>
        <w:spacing w:after="0" w:line="17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7"/>
          <w:szCs w:val="17"/>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after a brief hiatus and the trial has 32 enrolled participants as of March 31, 2025. We believe that celiprolol could address significant unmet needs as there are currently no approved treatments for VEDS in the U.S.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Celiprolol summary:</w:t>
      </w:r>
    </w:p>
    <w:p>
      <w:pPr>
        <w:spacing w:after="0" w:line="213" w:lineRule="exact"/>
        <w:rPr>
          <w:sz w:val="20"/>
          <w:szCs w:val="20"/>
          <w:color w:val="auto"/>
        </w:rPr>
      </w:pPr>
    </w:p>
    <w:p>
      <w:pPr>
        <w:jc w:val="both"/>
        <w:ind w:left="920" w:hanging="444"/>
        <w:spacing w:after="0" w:line="26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no approved treatments for VEDS in the U.S. </w:t>
      </w:r>
      <w:r>
        <w:rPr>
          <w:rFonts w:ascii="Times New Roman" w:cs="Times New Roman" w:eastAsia="Times New Roman" w:hAnsi="Times New Roman"/>
          <w:sz w:val="18"/>
          <w:szCs w:val="18"/>
          <w:color w:val="auto"/>
        </w:rPr>
        <w:t>There are currently no approved treatments of VEDS in the U.S. and we believe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celiprolol, if approved, could be a significant innovation in the treatment of VEDS in the U.S. where current treatment options are focused primarily on surgical intervention.</w:t>
      </w:r>
    </w:p>
    <w:p>
      <w:pPr>
        <w:spacing w:after="0" w:line="170" w:lineRule="exact"/>
        <w:rPr>
          <w:rFonts w:ascii="Times New Roman" w:cs="Times New Roman" w:eastAsia="Times New Roman" w:hAnsi="Times New Roman"/>
          <w:sz w:val="18"/>
          <w:szCs w:val="18"/>
          <w:color w:val="auto"/>
        </w:rPr>
      </w:pPr>
    </w:p>
    <w:p>
      <w:pPr>
        <w:jc w:val="both"/>
        <w:ind w:left="920" w:hanging="444"/>
        <w:spacing w:after="0" w:line="26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pharmacological profile. </w:t>
      </w:r>
      <w:r>
        <w:rPr>
          <w:rFonts w:ascii="Times New Roman" w:cs="Times New Roman" w:eastAsia="Times New Roman" w:hAnsi="Times New Roman"/>
          <w:sz w:val="18"/>
          <w:szCs w:val="18"/>
          <w:color w:val="auto"/>
        </w:rPr>
        <w:t>Mechanism of action in VEDS patients is thought to be through vascular dilatation and smooth muscle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relaxation, the effect of which is to reduce the mechanical stress on collagen fibers in the arterial wall, and thereby potentially less incidence of vascular ruptures.</w:t>
      </w:r>
    </w:p>
    <w:p>
      <w:pPr>
        <w:spacing w:after="0" w:line="170" w:lineRule="exact"/>
        <w:rPr>
          <w:rFonts w:ascii="Times New Roman" w:cs="Times New Roman" w:eastAsia="Times New Roman" w:hAnsi="Times New Roman"/>
          <w:sz w:val="18"/>
          <w:szCs w:val="18"/>
          <w:color w:val="auto"/>
        </w:rPr>
      </w:pPr>
    </w:p>
    <w:p>
      <w:pPr>
        <w:jc w:val="both"/>
        <w:ind w:left="920" w:hanging="444"/>
        <w:spacing w:after="0" w:line="26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Evidence of efficacy in the EU and extensive clinical experience from multiple trials. </w:t>
      </w:r>
      <w:r>
        <w:rPr>
          <w:rFonts w:ascii="Times New Roman" w:cs="Times New Roman" w:eastAsia="Times New Roman" w:hAnsi="Times New Roman"/>
          <w:sz w:val="18"/>
          <w:szCs w:val="18"/>
          <w:color w:val="auto"/>
        </w:rPr>
        <w:t>Celiprolol has become the primary treatment for VEDS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in several European countries. BBEST Clinical Trial data showed 76% reduction in risk of arterial events observed in COLA3A1+ subpopulation, with additional data from a long-term observational study in France.</w:t>
      </w:r>
    </w:p>
    <w:p>
      <w:pPr>
        <w:spacing w:after="0" w:line="170" w:lineRule="exact"/>
        <w:rPr>
          <w:rFonts w:ascii="Times New Roman" w:cs="Times New Roman" w:eastAsia="Times New Roman" w:hAnsi="Times New Roman"/>
          <w:sz w:val="18"/>
          <w:szCs w:val="18"/>
          <w:color w:val="auto"/>
        </w:rPr>
      </w:pPr>
    </w:p>
    <w:p>
      <w:pPr>
        <w:ind w:left="920" w:hanging="444"/>
        <w:spacing w:after="0" w:line="278"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Celiprolol for VEDS would be considered an NCE in the U.S. and has been granted Orphan Drug designation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Breakthrough Therapy designation.</w:t>
      </w:r>
    </w:p>
    <w:p>
      <w:pPr>
        <w:spacing w:after="0" w:line="156" w:lineRule="exact"/>
        <w:rPr>
          <w:rFonts w:ascii="Times New Roman" w:cs="Times New Roman" w:eastAsia="Times New Roman" w:hAnsi="Times New Roman"/>
          <w:sz w:val="18"/>
          <w:szCs w:val="18"/>
          <w:color w:val="auto"/>
        </w:rPr>
      </w:pPr>
    </w:p>
    <w:p>
      <w:pPr>
        <w:ind w:left="920" w:hanging="444"/>
        <w:spacing w:after="0" w:line="278"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patent protection through 2038. </w:t>
      </w:r>
      <w:r>
        <w:rPr>
          <w:rFonts w:ascii="Times New Roman" w:cs="Times New Roman" w:eastAsia="Times New Roman" w:hAnsi="Times New Roman"/>
          <w:sz w:val="18"/>
          <w:szCs w:val="18"/>
          <w:color w:val="auto"/>
        </w:rPr>
        <w:t>Celiprolol is generally protected by U.S. patents that will expire, after utilizing all appropriate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but excluding possible term extensions, in 2038.</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KP1077</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KP1077 is being developed and evaluated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may be beneficial.</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There is currently only one approved product for the treatment of IH, XYWAV, developed by Jazz Pharmaceuticals. A second product, WAKIX, developed by Harmony Biosciences (“Harmony”), was originally approved for the treatment of EDS or cataplexy in adult patients with narcolepsy, but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reported final data for the Phase 1 proof-of-concept study of SDX in the first quarter of 2022.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KP1077 utilizes SDX, our prodrug of d-MPH, as its active pharmaceutical ingredient (“API”). During the first quarter of 2022, we initiated a Phase 1 clinical trial comparing the cardiovascular safety of SDX to immediate-release and long-acting formulations of RITALIN, a commonly prescribed central nervous system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Clinically meaningful improvements were observed across all studied endpoints.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KP1077 Summary:</w:t>
      </w:r>
    </w:p>
    <w:p>
      <w:pPr>
        <w:spacing w:after="0" w:line="213" w:lineRule="exact"/>
        <w:rPr>
          <w:sz w:val="20"/>
          <w:szCs w:val="20"/>
          <w:color w:val="auto"/>
        </w:rPr>
      </w:pPr>
    </w:p>
    <w:p>
      <w:pPr>
        <w:ind w:left="880" w:hanging="437"/>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drug-to-drug interactions observed to date. </w:t>
      </w:r>
      <w:r>
        <w:rPr>
          <w:rFonts w:ascii="Times New Roman" w:cs="Times New Roman" w:eastAsia="Times New Roman" w:hAnsi="Times New Roman"/>
          <w:sz w:val="18"/>
          <w:szCs w:val="18"/>
          <w:color w:val="auto"/>
        </w:rPr>
        <w:t>We have not observed drug-to-drug interactions in clinical drug-drug interaction studies.</w:t>
      </w:r>
    </w:p>
    <w:p>
      <w:pPr>
        <w:spacing w:after="0" w:line="217" w:lineRule="exact"/>
        <w:rPr>
          <w:rFonts w:ascii="Times New Roman" w:cs="Times New Roman" w:eastAsia="Times New Roman" w:hAnsi="Times New Roman"/>
          <w:sz w:val="18"/>
          <w:szCs w:val="18"/>
          <w:color w:val="auto"/>
        </w:rPr>
      </w:pPr>
    </w:p>
    <w:p>
      <w:pPr>
        <w:jc w:val="both"/>
        <w:ind w:left="880" w:hanging="437"/>
        <w:spacing w:after="0" w:line="26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for reduced abuse potential as a Schedule IV controlled substance. </w:t>
      </w:r>
      <w:r>
        <w:rPr>
          <w:rFonts w:ascii="Times New Roman" w:cs="Times New Roman" w:eastAsia="Times New Roman" w:hAnsi="Times New Roman"/>
          <w:sz w:val="18"/>
          <w:szCs w:val="18"/>
          <w:color w:val="auto"/>
        </w:rPr>
        <w:t>All other methylphenidate-based products have been designated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 II controlled substances, which indicates stricter control over the prescribing and use of such products. KP1077 is based on SDX, which has been designated a Schedule IV controlled substance.</w:t>
      </w:r>
    </w:p>
    <w:p>
      <w:pPr>
        <w:spacing w:after="0" w:line="170" w:lineRule="exact"/>
        <w:rPr>
          <w:rFonts w:ascii="Times New Roman" w:cs="Times New Roman" w:eastAsia="Times New Roman" w:hAnsi="Times New Roman"/>
          <w:sz w:val="18"/>
          <w:szCs w:val="18"/>
          <w:color w:val="auto"/>
        </w:rPr>
      </w:pPr>
    </w:p>
    <w:p>
      <w:pPr>
        <w:jc w:val="both"/>
        <w:ind w:left="880" w:hanging="437"/>
        <w:spacing w:after="0" w:line="284" w:lineRule="auto"/>
        <w:tabs>
          <w:tab w:leader="none" w:pos="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currently approved generic equivalent product. </w:t>
      </w:r>
      <w:r>
        <w:rPr>
          <w:rFonts w:ascii="Times New Roman" w:cs="Times New Roman" w:eastAsia="Times New Roman" w:hAnsi="Times New Roman"/>
          <w:sz w:val="17"/>
          <w:szCs w:val="17"/>
          <w:color w:val="auto"/>
        </w:rPr>
        <w:t>KP1077 contains SDX, our proprietary prodrug of d-methylphenidate, also known as the 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chemical name, serdexmethylphenidate, by the U.S. Adopted Names Council of the American Medical Association, which means that there may be no generic equivalent product for KP1077 in most states, making drug-equivalent substitution potentially difficult at the pharmacy.</w:t>
      </w:r>
    </w:p>
    <w:p>
      <w:pPr>
        <w:spacing w:after="0" w:line="154" w:lineRule="exact"/>
        <w:rPr>
          <w:rFonts w:ascii="Times New Roman" w:cs="Times New Roman" w:eastAsia="Times New Roman" w:hAnsi="Times New Roman"/>
          <w:sz w:val="17"/>
          <w:szCs w:val="17"/>
          <w:color w:val="auto"/>
        </w:rPr>
      </w:pPr>
    </w:p>
    <w:p>
      <w:pPr>
        <w:jc w:val="both"/>
        <w:ind w:left="880" w:hanging="437"/>
        <w:spacing w:after="0" w:line="26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Orphan drug designation. </w:t>
      </w:r>
      <w:r>
        <w:rPr>
          <w:rFonts w:ascii="Times New Roman" w:cs="Times New Roman" w:eastAsia="Times New Roman" w:hAnsi="Times New Roman"/>
          <w:sz w:val="18"/>
          <w:szCs w:val="18"/>
          <w:color w:val="auto"/>
        </w:rPr>
        <w:t>Because the size of the IH patient population is small, the FDA has granted KP1077 orphan drug designation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IH. We believe KP1077 may potentially be eligible for fast-track and breakthrough therapy designation, which may provide various regulatory benefits for the development program.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AZSTARYS (Partnered product)</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AZSTARYS contains d-MPH and our prodrug of d-MPH, SDX. On March 2, 2021, the FDA approved AZSTARYS as a once-daily treatment for attention deficit hyperactivity disorder (ADHD), in patients age six years and older. AZSTARYS is currently being marketed in the U.S. under our September 2019 collaboration and license agreement, or the AZSTARYS License Agreement, with Commave. Under the AZSTARYS License Agreement, we granted Commave an exclusive, worldwide license, to develop, manufacture, and commercialize AZSTARYS and any of our product candidates containing SDX and used to treat ADHD or any other CNS disease. In July 2020, we entered into the consulting agreement with Corium, Inc. (“Corium”), under which Corium and Commave, respectively, engaged us to guide the product development and regulatory activities for certain current and potential future products in their portfolio, as well as continue supporting preparation for the potential commercial launch of AZSTARYS.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Commave has tasked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AZSTARYS License Agreement, Commave agreed to pay up to $63.0 million in milestone payments upon the occurrence of specified regulatory milestones related to AZSTARYS, including FDA approval and specified conditions with respect to the final approval label. In addition, Corium agreed to make additional payments upon the achievement of specified U.S. sales milestones of up to $420.0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April 2021, we entered into the AZSTARYS Amendment (“AZSTARYS Amendment”). Pursuant to the AZSTARYS Amendment,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API in AZSTARYS, was classified as a Schedule IV controlled substance by the DEA. AZSTARYS is classified as a Schedule II controlled substance as its formulation includes a 70:30 mixture of SDX (Schedule IV) and d-MPH (Schedule II),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Distributor Agreement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single distributor for sales of our approved products, MIPLYFFA and OLPRUVA, is a specialty pharmacy provider. The Company, however, may establish additional specialty distributors or other retail pharmacies and certain medical centers or hospitals. In addition to distribution agreements, we may enter into arrangements with health care providers and payors that provide for government mandated and/or privately negotiated rebates with respect to the purchase of our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condition to entering into the Merger Agreement, Acer and Relief Therapeutics SA (“Relief”) entered into an exclusive license agreement on August 30, 2023 (the “Relief License Agreement”). 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OLPRUVA License Agreement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Relief License Agreement, Zevra was obligated to pay royalties of 10% of U.S. net sales up to a maximum of $45.0 million, plus specified regulatory milestones, for total payments to Relief of up to $56.5 million. On April 10, 2025, the rights to this royalty were sold to Soleus Capital Management 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Related to MIPLYFFA (arimoclomol)</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Prior to our acquisition of the assets of Orphazyme in May 2022, Orphazyme had entered into an asset purchase agreement with LadRx Corporation, which was assigned to XOMA (US) LLC, a wholly-owned subsidiary of XOMA Corporation (“XOMA”), in June 2023 (“XOMA License Agreement”), as well as a license agreement with Kansas University (“KU”) and UCLB Business, PLC (“UCLB”) (the “KU/UCLB License Agreement”). Under the XOMA License Agreement, XOMA is entitled to certain net sales and regulatory milestone payments in addition to a mid-single digit royalty with respect to worldwide net sales of MIPLYFFA. Under the KU/UCLB License Agreement, KU and UCLB, respectively, are entitled to a low-single digit royalty with respect to worldwide net sales of MIPLYFFA.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Aquestive Termination Agreement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our March 2012 termination agreement with Aquestive Therapeutics (“Aquestive”), Aquestive has the right to receive a royalty amount equal to 10% of any value generated by AZSTARYS and any product candidates containing SDX. In connection with the AZSTARYS License Agreement, we paid Aquestive a royalty equal to 10% of the quarterly royalty payments and of the regulatory and net sales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5"/>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72"/>
              <w:spacing w:after="0" w:line="205" w:lineRule="exact"/>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5"/>
        </w:trPr>
        <w:tc>
          <w:tcPr>
            <w:tcW w:w="5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 net</w:t>
            </w:r>
          </w:p>
        </w:tc>
        <w:tc>
          <w:tcPr>
            <w:tcW w:w="1220" w:type="dxa"/>
            <w:vAlign w:val="bottom"/>
            <w:gridSpan w:val="2"/>
            <w:shd w:val="clear" w:color="auto" w:fill="CCEEFF"/>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20,401</w:t>
            </w:r>
          </w:p>
        </w:tc>
        <w:tc>
          <w:tcPr>
            <w:tcW w:w="44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3,425</w:t>
            </w:r>
          </w:p>
        </w:tc>
        <w:tc>
          <w:tcPr>
            <w:tcW w:w="28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16,976</w:t>
            </w:r>
          </w:p>
        </w:tc>
      </w:tr>
      <w:tr>
        <w:trPr>
          <w:trHeight w:val="194"/>
        </w:trPr>
        <w:tc>
          <w:tcPr>
            <w:tcW w:w="5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Cost of product revenue (excluding $1,615 and $1,528 in intangible asset</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for the three months ended March 31, 2025, and March 31, 2024,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shown separately below)</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1,170</w:t>
            </w:r>
          </w:p>
        </w:tc>
      </w:tr>
      <w:tr>
        <w:trPr>
          <w:trHeight w:val="21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19,545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9,614</w:t>
            </w:r>
          </w:p>
        </w:tc>
      </w:tr>
      <w:tr>
        <w:trPr>
          <w:trHeight w:val="205"/>
        </w:trPr>
        <w:tc>
          <w:tcPr>
            <w:tcW w:w="5780" w:type="dxa"/>
            <w:vAlign w:val="bottom"/>
            <w:tcBorders>
              <w:bottom w:val="single" w:sz="8" w:color="CCEEFF"/>
            </w:tcBorders>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22,803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22,208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595</w:t>
            </w:r>
          </w:p>
        </w:tc>
      </w:tr>
      <w:tr>
        <w:trPr>
          <w:trHeight w:val="205"/>
        </w:trPr>
        <w:tc>
          <w:tcPr>
            <w:tcW w:w="5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(20,486)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15,124</w:t>
            </w:r>
          </w:p>
        </w:tc>
      </w:tr>
      <w:tr>
        <w:trPr>
          <w:trHeight w:val="205"/>
        </w:trPr>
        <w:tc>
          <w:tcPr>
            <w:tcW w:w="5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12"/>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1,247</w:t>
            </w: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r>
      <w:tr>
        <w:trPr>
          <w:trHeight w:val="212"/>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05"/>
        </w:trPr>
        <w:tc>
          <w:tcPr>
            <w:tcW w:w="5780" w:type="dxa"/>
            <w:vAlign w:val="bottom"/>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3,794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(349)</w:t>
            </w:r>
          </w:p>
        </w:tc>
      </w:tr>
      <w:tr>
        <w:trPr>
          <w:trHeight w:val="205"/>
        </w:trPr>
        <w:tc>
          <w:tcPr>
            <w:tcW w:w="5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14,775</w:t>
            </w: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25"/>
        </w:trPr>
        <w:tc>
          <w:tcPr>
            <w:tcW w:w="5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(3,099)</w:t>
            </w:r>
          </w:p>
        </w:tc>
        <w:tc>
          <w:tcPr>
            <w:tcW w:w="44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(16,622)</w:t>
            </w:r>
          </w:p>
        </w:tc>
        <w:tc>
          <w:tcPr>
            <w:tcW w:w="28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13,523</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loss for the three months ended March 31, 2025, was $3.1 million, compared to net loss of $16.6 million for the three months ended March 31, 2024, a decrease in net loss of $13.5 million. The change was primarily attributable to a decrease in loss from operations of $15.1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 for the three months ended March 31, 2025, was $20.4 million, compared to revenue of $3.4 million for the three months ended March 31, 2024 an increase of $17.0 million. The increase was primarily due to an increase in product sales of MIPLYFFA of $17.1 million.</w:t>
      </w:r>
    </w:p>
    <w:p>
      <w:pPr>
        <w:sectPr>
          <w:pgSz w:w="11900" w:h="16838" w:orient="portrait"/>
          <w:cols w:equalWidth="0" w:num="1">
            <w:col w:w="11240"/>
          </w:cols>
          <w:pgMar w:left="320" w:top="121" w:right="339" w:bottom="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Cost of product revenue for the three months ended March 31, 2025, increased by approximately $1.2 million compared to the cost of product revenue for the three months ended March 31, 2024, primarily due to royalty costs related to product sales of MIPLYFFA.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Intangible asset amortization for the three months ended March 31, 2025, increased by approximately $0.1 million compared to the intangible asset amortization for the three months ended March 31, 2024, due to amortization expense related to definite-lived intangible assets acquired in the Merger .</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decreased by $9.0 million, from $12.3 million for the three months ended March 31, 2024, to $3.3 million for the three months ended March 31, 2025. This decrease was primarily driven by a decrease in spending for the ongoing Phase 2 clinical study in KP1077 and a decrease in personnel-related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expenses increased by $9.6 million, from $9.9 million for the three months ended March 31, 2024, to $19.5 million for the three months ended March 31, 2025. The period-over-period increase was primarily related to an increase in personnel-related costs, professional fees, and other expenses as we continue to build our commercial organization.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income for the three months ended March 31, 2025, was $3.4 million compared to other income of $3.8 million for the three months ended March 31, 2024. This change was primarily attributable to an increase in interest expense of $1.2 million and a decrease in interest and other income of $0.4 million, partially offset by an increase in the fair value adjustment related to warrant and CVR liability of $1.2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Through March 31, 2025, we have funded our research and development and operating activities primarily through the issuance of debt and equity and from product sales of MIPLYFFA and OLPRUVA, reimbursements received under the French AC, royalties or net sales milestone payments generated under the AZSTARYS License Agreement, and consulting agreements. As of March 31, 2025, we had cash, cash equivalents and investments of $68.7 million.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26, 2025, we entered into the PRV Transfer Agreement, pursuant to which we agreed to sell the PRV to the buyer, subject to customary closing conditions. Pursuant to the PRV Transfer Agreement, the buyer agreed to pay the Company $150.0 million, payable in cash, upon the closing of the sale. On April 1, 2025, the asset sale was consummated, resulting in net proceeds of $148.3 million to the Company.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had recurring negative net operating cash flows throughout our operating history, and we cannot guarantee or predict when we may begin to consistently generate positive net cash flows from operations, or if at all. We expect that our sources of revenue will be from product sales of MIPLYFFA and OLPRUVA, reimbursements received under the French AC, royalties or net sales milestone payments generated under the AZSTARYS License Agreement, consulting agreements, and any other future arrangements related to one or more of our products or product candidates.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connection with the Merger, we and Nantahala Capital Management, LLC (“Nantahala”) concurrently entered into a registration rights agreement, pursuant to which we agreed to file a resale registration statement with respect to the resale of our common stock issuable to Nantahala. On February 5, 2024, we filed a registration statement on Form S-3 (File No. 333-276856) registering an aggregate of 2,269,721 shares of our common stock. On April 5, 2024, we filed an amendment to such registration statement, which was declared effective on April 8, 2024.</w:t>
      </w:r>
    </w:p>
    <w:p>
      <w:pPr>
        <w:spacing w:after="0" w:line="180"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4, 2024, we filed a registration statement on Form S-3 (File No. 333-279941) (the “June 2024 Registration Statement”) under which we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The registration statement was declared effective on June 13, 2024.</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1"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On August 8, 2024, we entered into an underwriting agreement (the “Underwriting Agreement”) with Cantor Fitzgerald &amp; Co. and William Blair &amp; Company, L.L.C., as representatives of the several underwriters named therein (collectively, the “Underwriters”), in connection with the offering, issuance and sale by us of 9,230,770 shares of our common stock at a public offering price of $6.50 per share, pursuant to the June 2024 Registration Statement and a related prospectus supplement dated August 8, 2024 filed with the SEC (the “August 2024 Offering”). Under the terms of the Underwriting Agreement, we also granted the Underwriters an option exercisable for 30 days to purchase up to an additional 1,384,615 shares of our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us. We intend to use the net proceeds of the offering to support the commercial launch activities for MIPLYFFA, continued commercial support for OLPRUVA and the continued development of celiprolol through potential NDA filings and other general corporate purposes.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1"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its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March 31, 2025, no shares have been issued or sold under the 2024 ATM Agreement.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1"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The assets acquired and liabilities assumed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(v) a secured promissory note payable by Zevra to Nantahala in the original principal amount of $5.0 million, (vi) $8.5 million in the estimated fair value of contingent consideration related to the CVRs, (vii) 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w:t>
      </w:r>
    </w:p>
    <w:p>
      <w:pPr>
        <w:spacing w:after="0" w:line="18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the Merger on November 17, 2023, each share of common stock of Acer was converted into the right to receive (i) 0.1210 fully paid and non-assessable shares of common stock of Zevra, par value $0.0001 per share, and (ii) one non-transferable CVR to be issued by Zevra, which will represent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19"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In connection with the Merger, a certain stockholder of Acer entered into, and Acer agreed to use its reasonable best efforts to cause certain other stockholders to enter into joinders to, a stockholders agreement with Zevra (the “Stockholders Agreement”). Pursuant to the Stockholders Agreement, the stockholders party thereto agreed to, or would agree to, among other things, vote all of their shares in Zevra that they own in favor of each nominee included in the Zevra board of director’s slate of nominees for each election of directors and in favor of each matter approved by the Zevra board of directors and submitted to stockholders of Zevra for the approval of stockholders following the closing of the Merger and until the second anniversary of the Closing Date of the Merger (the “Trigger Date”). In addition, the stockholders party to the Stockholders Agreement will be subject to customary standstill provisions, subject to certain exceptions, until the Trigger Date.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8"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us in the aggregate principal amount of $100.0 million, which is divided into three tranches as follows: (i) $60.0 million which was funded in full on the Term Loans Closing Date; (ii) $20.0 million which is available to us in up to two drawings, each in an amount not to exceed $10.0 million, at the Company’s option until 18 months following the Term Loans Closing Date; and (iii) $20.0 million which was available to us upon approval by the FDA of the NDA for MIPLYFFA for the treatment of NPC, at our option until December 31, 2024 and which has therefore expired (collectively, the “Term Loans”).</w:t>
      </w:r>
    </w:p>
    <w:p>
      <w:pPr>
        <w:spacing w:after="0" w:line="185"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The principal amount of the Term Loans outstanding (the “Outstanding Principal Amount”) will bear interest at a rate equal to 3-Month Term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We have the option to pay up to 25% of the interest in-kind beginning on the Term Loans Closing Date, through and including June 30, 2026. The Term Loans will mature on the fifth anniversary of the Term Loans Closing Date. In connection with the Credit Agreement, we incurred approximately $2. 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19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by us, which among other things, will require us to provide certain financial reports to the Lenders, meet certain minimum net product sales amounts, and limit our ability to incur or guarantee additional indebtedness, engage in certain transactions, and effect a consolidation or merger without consent. In addition, as long as the line of credit remains active, we must maintain a minimum cash balance of $20.0 million to ensure that we can meet our immediate capital needs. Our obligations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of our current and future assets. The proceeds of the Term Loans were used to refinance certain of our previously existing indebtedness. We will use the remaining proceeds to pay fees and expenses related to the debt financing and fund the development and commercialization of MIPLYFFA and OLPRUVA.</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 (in thousands):</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gridSpan w:val="2"/>
            <w:shd w:val="clear" w:color="auto" w:fill="CCEEFF"/>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(8,222)</w:t>
            </w:r>
          </w:p>
        </w:tc>
        <w:tc>
          <w:tcPr>
            <w:tcW w:w="40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(16,165)</w:t>
            </w:r>
          </w:p>
        </w:tc>
      </w:tr>
      <w:tr>
        <w:trPr>
          <w:trHeight w:val="212"/>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r>
      <w:tr>
        <w:trPr>
          <w:trHeight w:val="212"/>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12"/>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20" w:type="dxa"/>
            <w:vAlign w:val="bottom"/>
          </w:tcPr>
          <w:p>
            <w:pPr>
              <w:spacing w:after="0"/>
              <w:rPr>
                <w:sz w:val="19"/>
                <w:szCs w:val="19"/>
                <w:color w:val="auto"/>
              </w:rPr>
            </w:pPr>
          </w:p>
        </w:tc>
        <w:tc>
          <w:tcPr>
            <w:tcW w:w="5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3,555</w:t>
            </w:r>
          </w:p>
        </w:tc>
        <w:tc>
          <w:tcPr>
            <w:tcW w:w="40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(200)</w:t>
            </w: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of $8.2 million consisted of a net loss of $3.1 million and changes in working capital of $6.8 million, partially offset by $1.7 million in adjustments for non-cash items. Net loss was primarily attributable to our spending on research and development programs and operating costs; partially offset by revenue received from product sales of MIPLYFFA and OLPRUVA, royalties generated under the AZSTARYS License Agreement, and reimbursements received under the French AC. The changes in working capital consisted of $7.3 million related to a change in accounts payable and accrued expenses, a $0.2 million change in inventories, $0.2 million related to a change in operating lease liabilities, $2.1 million related to a change in accounts and other receivables, partially offset by an increase of $0.6 million related to a change in other liabilities, $0.3 million in prepaids and other assets, $0.2 million related to a change in operating lease right-of-use assets, and $1.9 million related to a change in discount and rebate liabilities. The adjustments for non-cash items primarily consisted of stock-based compensation expense of $3.1 million, interest expense of $0.7 million, and $2.8 million related to depreciation, amortization and other items, partially offset by a change in the fair value of warrant and CVR liability of $4.9 million.</w:t>
      </w:r>
    </w:p>
    <w:p>
      <w:pPr>
        <w:spacing w:after="0" w:line="1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the three months ended March 31, 2024, net cash used in operating activities of $16.2 million consisted of a net loss of $16.6 million and $0.2 million in changes in working capital; partially offset by $0.6 million in adjustments for non-cash items. Net loss was primarily attributable to our spending on research and development programs and operating costs; partially offset by revenue received from product sales of OLPRUVA, reimbursements received under the French AC, and royalties or net sales milestone payments generated under the AZSTARYS License Agreement. The changes in working capital consisted of $7.4 million related to a change in accounts payable and accrued expenses, $0.1 million related to a change in operating lease liabilities, $2.6 million related to a change in inventories, and $0.3 million related to a change in other liabilities; partially offset by $9.1 million related to a change in accounts and other receivables, $1.0 million related to a change in discount and rebate liabilities, and $0.1 million related to a change in operating lease right-of-use assets. The adjustments for non-cash items primarily consisted of stock-based compensation expense of $2.1 million, interest expense of $0.2 million, and $1.9 million related to depreciation, amortization and other items; partially offset by a change in the fair value of warrant and CVR liability of $3.6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investing activities was $10.5 million, which was primarily attributable to maturities of investments of $18.0 million, partially offset by $7.4 million in purchases of investments.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investing activities was $14.8 million, which was primarily attributable to maturities of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$1.6 million, which was primarily attributable to proceeds from the issuance of stock of $2.0 million partially offset by payments of principal on insurance financing arrangements of $0.4 million.</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was $1.2 million, which was primarily attributable to proceeds from the issuance of stock.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believe our available cash and cash equivalents, together with our ability to generate operating cash flow and our access to short-term and long-term borrowings, are sufficient to fund our existing and planned capital requirements for at least the next twelve months and the foreseeable future.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17" w:lineRule="exact"/>
        <w:rPr>
          <w:sz w:val="20"/>
          <w:szCs w:val="20"/>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royalties or net sales milestone payments generated under the AZSTARYS License Agreement;</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reimbursements received for arimoclomol under the French AC;</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OLPRUVA;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MIPLYFFA.</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63" w:lineRule="exact"/>
        <w:rPr>
          <w:sz w:val="20"/>
          <w:szCs w:val="20"/>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clinical trials and our product development activities for our pipeline of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and clinical trials of our product candidates;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17" w:lineRule="exact"/>
        <w:rPr>
          <w:rFonts w:ascii="Times New Roman" w:cs="Times New Roman" w:eastAsia="Times New Roman" w:hAnsi="Times New Roman"/>
          <w:sz w:val="18"/>
          <w:szCs w:val="18"/>
          <w:color w:val="auto"/>
        </w:rPr>
      </w:pPr>
    </w:p>
    <w:p>
      <w:pPr>
        <w:ind w:left="460" w:hanging="229"/>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date, we have generated revenue from product sales of MIPLYFFA and OLPRUVA, reimbursements received under the French AC, royalties or net sales milestone payments generated under the AZSTARYS License Agreement, and consulting agreements. We expect that, for the foreseeable future, our sources of revenues will be from product sales of MIPLYFFA and OLPRUVA, reimbursements received under the French AC, royalties or net sales milestone payments generated under the AZSTARYS License Agreement, consulting agreements, and any other future arrangements related to one or more of our products or product candidates. We cannot guarantee that our current commercialization strategies,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receive reimbursements under the French AC or successfully commercialize MIPLYFFA or OLPRUVA. We also expect to continue to incur significant additional costs associated with operating as a public company.</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product sales of MIPLYFFA and OLPRUVA, reimbursements received under the French AC, royalties or net sales milestone payments generated under the AZSTARYS License Agreement, consulting agreements,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83" w:lineRule="exact"/>
        <w:rPr>
          <w:sz w:val="20"/>
          <w:szCs w:val="20"/>
          <w:color w:val="auto"/>
        </w:rPr>
      </w:pPr>
    </w:p>
    <w:p>
      <w:pPr>
        <w:jc w:val="both"/>
        <w:ind w:left="20"/>
        <w:spacing w:after="0" w:line="306" w:lineRule="auto"/>
        <w:rPr>
          <w:sz w:val="20"/>
          <w:szCs w:val="20"/>
          <w:color w:val="auto"/>
        </w:rPr>
      </w:pPr>
      <w:r>
        <w:rPr>
          <w:rFonts w:ascii="Times New Roman" w:cs="Times New Roman" w:eastAsia="Times New Roman" w:hAnsi="Times New Roman"/>
          <w:sz w:val="17"/>
          <w:szCs w:val="17"/>
          <w:color w:val="auto"/>
        </w:rPr>
        <w:t xml:space="preserve">Our critical accounting policies have not changed materially from those described in </w:t>
      </w:r>
      <w:r>
        <w:rPr>
          <w:rFonts w:ascii="Times New Roman" w:cs="Times New Roman" w:eastAsia="Times New Roman" w:hAnsi="Times New Roman"/>
          <w:sz w:val="17"/>
          <w:szCs w:val="17"/>
          <w:i w:val="1"/>
          <w:iCs w:val="1"/>
          <w:color w:val="auto"/>
        </w:rPr>
        <w:t>Part II, Item 7 –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and Results of Operations </w:t>
      </w:r>
      <w:r>
        <w:rPr>
          <w:rFonts w:ascii="Times New Roman" w:cs="Times New Roman" w:eastAsia="Times New Roman" w:hAnsi="Times New Roman"/>
          <w:sz w:val="17"/>
          <w:szCs w:val="17"/>
          <w:color w:val="auto"/>
        </w:rPr>
        <w:t>of our Annual Report on Form 10-K for the fiscal year ended December 31, 2024, filed with the SEC on March 12, 2025.</w:t>
      </w:r>
    </w:p>
    <w:p>
      <w:pPr>
        <w:spacing w:after="0" w:line="138"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Exchange Act) as of March 31, 2025. Based on the evaluation of our disclosure controls and procedures as of March 31, 2025, our chief executive officer and our chief financial officer concluded that, as of such date, our disclosure controls and procedures were effective at the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March 31, 2025, that materially affected, or is reasonably likely to materially affect, our internal control over financial reporting.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9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9"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In connection with the AZSTARYS License Agreement with Commave, a dispute has arisen with Commave concerning the interpretation of certain provisions under the AZSTARYS License Agreement. On September 4, 2024, Commave filed a complaint against Zevra in the Court of Chancery of the State of Delaware (Case No. 2024-0920-LWW) alleging breach of contract and seeking injunctive relief, specific performance, declaratory relief, and damages regarding the parties' respective rights and obligations under the Agreement.</w:t>
      </w:r>
    </w:p>
    <w:p>
      <w:pPr>
        <w:spacing w:after="0" w:line="185" w:lineRule="exact"/>
        <w:rPr>
          <w:sz w:val="20"/>
          <w:szCs w:val="20"/>
          <w:color w:val="auto"/>
        </w:rPr>
      </w:pPr>
    </w:p>
    <w:p>
      <w:pPr>
        <w:jc w:val="both"/>
        <w:ind w:left="20" w:right="100"/>
        <w:spacing w:after="0" w:line="274" w:lineRule="auto"/>
        <w:rPr>
          <w:sz w:val="20"/>
          <w:szCs w:val="20"/>
          <w:color w:val="auto"/>
        </w:rPr>
      </w:pPr>
      <w:r>
        <w:rPr>
          <w:rFonts w:ascii="Times New Roman" w:cs="Times New Roman" w:eastAsia="Times New Roman" w:hAnsi="Times New Roman"/>
          <w:sz w:val="18"/>
          <w:szCs w:val="18"/>
          <w:color w:val="auto"/>
        </w:rPr>
        <w:t>On February 12, 2025, our motion to dismiss was denied and the case is now in the discovery phase. We strongly disagree with Commave's allegations and believe this lawsuit is without merit.</w:t>
      </w:r>
    </w:p>
    <w:p>
      <w:pPr>
        <w:spacing w:after="0" w:line="163"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The litigation is in its early stages. While we intend to vigorously defend against Commave's claims, the outcome of this matter is inherently uncertain. We cannot predict with certainty the timing or ultimate outcome of this litigation or its potential impact on our business, financial condition, or results of operations. At this time, we have not recorded any accrual for contingent liability associated with this matter.</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AZSTARYS License Agreement remains in effect during this litigation, and both parties continue to perform their respective obligations thereunder However, there can be no assurance that this dispute will not have an adverse impact on our relationship with Commave or on Zevra’s business.</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will continue to monitor developments in this matter and will assess the potential impact on our financial statements in future periods. We expect to incu significant legal expenses in connection with this litigation, which may materially affect our results of operations in future periods.</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Other than as disclosed herein, we believe there is no litigation pending that would reasonably be expected to, individually or in the aggregate, have a materia adverse effect on our results of operations or financial condition.</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jc w:val="both"/>
        <w:ind w:left="20" w:right="100"/>
        <w:spacing w:after="0" w:line="250"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2024, filed with the SEC on March 12, 2025, before investing in our common stock. Other than as described below, there have been no material changes to the risk factors described in that report. If any such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the risk factors in our Annual Report on Form 10-K and below, and the other factors described in in this Quarterly Report on Form 10-Q.</w:t>
      </w:r>
    </w:p>
    <w:p>
      <w:pPr>
        <w:spacing w:after="0" w:line="183" w:lineRule="exact"/>
        <w:rPr>
          <w:sz w:val="20"/>
          <w:szCs w:val="20"/>
          <w:color w:val="auto"/>
        </w:rPr>
      </w:pPr>
    </w:p>
    <w:p>
      <w:pPr>
        <w:jc w:val="both"/>
        <w:ind w:left="20"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delay, prevent or impair our development or commercialization efforts.</w:t>
      </w:r>
    </w:p>
    <w:p>
      <w:pPr>
        <w:spacing w:after="0" w:line="160" w:lineRule="exact"/>
        <w:rPr>
          <w:sz w:val="20"/>
          <w:szCs w:val="20"/>
          <w:color w:val="auto"/>
        </w:rPr>
      </w:pPr>
    </w:p>
    <w:p>
      <w:pPr>
        <w:jc w:val="both"/>
        <w:ind w:left="20" w:right="100"/>
        <w:spacing w:after="0" w:line="248" w:lineRule="auto"/>
        <w:rPr>
          <w:sz w:val="20"/>
          <w:szCs w:val="20"/>
          <w:color w:val="auto"/>
        </w:rPr>
      </w:pPr>
      <w:r>
        <w:rPr>
          <w:rFonts w:ascii="Times New Roman" w:cs="Times New Roman" w:eastAsia="Times New Roman" w:hAnsi="Times New Roman"/>
          <w:sz w:val="18"/>
          <w:szCs w:val="18"/>
          <w:color w:val="auto"/>
        </w:rPr>
        <w:t>Trade policies, geopolitical disputes and other international conflicts can result in tariffs, sanctions and other measures that restrict international trade, and can materially adversely affect our business, particularly if these measures affect regions where manufacturing and product development activities take place or raw materials are sourced. For example,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The extent and duration of any tariffs and the resulting impact on general economic conditions and on our business are uncertain and depend on various factors, such as negotiations between the United States and other countries, the response of such countries, and exemptions or exclusions that may be granted. Countries may also adopt other measures, such as controls on imports or exports of goods, technology or data, that could adversely impact supply chains. As these tensions continue to rise, more targeted approaches on certain products, industries or companies could significantly impact our development and commercialization efforts.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1" w:lineRule="exact"/>
        <w:rPr>
          <w:sz w:val="20"/>
          <w:szCs w:val="20"/>
          <w:color w:val="auto"/>
        </w:rPr>
      </w:pPr>
    </w:p>
    <w:p>
      <w:pPr>
        <w:jc w:val="both"/>
        <w:ind w:left="20" w:right="100"/>
        <w:spacing w:after="0" w:line="251"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Our future performance will depend, in part, the successful transitions and integration of new senior level executives into their roles and the continuity of leadership among the larger workforce. If we do not successfully manage executive transitions, it could be viewed negatively by our customers, employees, investors, and other third-party partners, and could have an adverse impact on our business and results of operations.</w:t>
      </w:r>
    </w:p>
    <w:p>
      <w:pPr>
        <w:spacing w:after="0" w:line="185"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Changes in U.S. immigration policies could impact our ability to attract and retain international talent. As a company with employees outside the U.S., restrictions or delays in immigration processing, visa issuance, or changes to work authorization requirements could hinder our ability to hire or retain qualified personnel needed for our operations. These challenges may increase our recruitment costs or delay key projects that require specialized expertise.</w:t>
      </w:r>
    </w:p>
    <w:p>
      <w:pPr>
        <w:sectPr>
          <w:pgSz w:w="11900" w:h="16838" w:orient="portrait"/>
          <w:cols w:equalWidth="0" w:num="1">
            <w:col w:w="11360"/>
          </w:cols>
          <w:pgMar w:left="300" w:top="121" w:right="239" w:bottom="1440" w:gutter="0" w:footer="0" w:header="0"/>
        </w:sectPr>
      </w:pP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81915</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9" w:lineRule="exact"/>
        <w:rPr>
          <w:sz w:val="20"/>
          <w:szCs w:val="20"/>
          <w:color w:val="auto"/>
        </w:rPr>
      </w:pPr>
    </w:p>
    <w:p>
      <w:pPr>
        <w:ind w:left="420" w:right="6240" w:hanging="255"/>
        <w:spacing w:after="0" w:line="491" w:lineRule="auto"/>
        <w:tabs>
          <w:tab w:leader="none" w:pos="4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420" w:right="2780" w:hanging="273"/>
        <w:spacing w:after="0" w:line="491" w:lineRule="auto"/>
        <w:tabs>
          <w:tab w:leader="none" w:pos="4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400" w:hanging="235"/>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17"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On March 21, 2025, Neil F. McFarlane, President and Chief Executive Officer, adopted a Rule 10b5- 1 trading arrangement that is intended to satisfy the affirmative defense of Rule 10b5- 1(c) for the sale of up to 125,125 shares of the Company’s common stock until March 19, 2026.</w:t>
      </w:r>
    </w:p>
    <w:p>
      <w:pPr>
        <w:spacing w:after="0" w:line="16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On March 26, 2025, Adrian W. Quartel, Chief Medical Officer, adopted a Rule 10b5- 1 trading arrangement that is intended to satisfy the affirmative defense of Rule 10b5- 1(c) for the sale of up to 79,533 shares of the Company’s common stock until March 31, 2026.</w:t>
      </w:r>
    </w:p>
    <w:p>
      <w:pPr>
        <w:spacing w:after="0" w:line="16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On March 27, 2025, R. LaDuane Clifton, Chief Financial Officer and Treasurer, adopted a Rule 10b5- 1 trading arrangement that is intended to satisfy the affirmative defense of Rule 10b5- 1(c) for the sale of up to 14,000 shares of the Company’s common stock until March 31, 2026.</w:t>
      </w:r>
    </w:p>
    <w:p>
      <w:pPr>
        <w:spacing w:after="0" w:line="16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On March 27, 2025, Joshua Schafer, Chief Commercial Officer, adopted a Rule 10b5- 1 trading arrangement that is intended to satisfy the affirmative defense of Rule 10b5- 1(c) for the sale of up to 13,875 shares of the Company’s common stock until March 31, 2026.</w:t>
      </w:r>
    </w:p>
    <w:p>
      <w:pPr>
        <w:spacing w:after="0" w:line="163" w:lineRule="exact"/>
        <w:rPr>
          <w:sz w:val="20"/>
          <w:szCs w:val="20"/>
          <w:color w:val="auto"/>
        </w:rPr>
      </w:pPr>
    </w:p>
    <w:p>
      <w:pPr>
        <w:ind w:left="320"/>
        <w:spacing w:after="0" w:line="304" w:lineRule="auto"/>
        <w:rPr>
          <w:sz w:val="20"/>
          <w:szCs w:val="20"/>
          <w:color w:val="auto"/>
        </w:rPr>
      </w:pPr>
      <w:r>
        <w:rPr>
          <w:rFonts w:ascii="Times New Roman" w:cs="Times New Roman" w:eastAsia="Times New Roman" w:hAnsi="Times New Roman"/>
          <w:sz w:val="17"/>
          <w:szCs w:val="17"/>
          <w:color w:val="auto"/>
        </w:rPr>
        <w:t>On March 27, 2025, Rahsaan Thompson, Chief Legal Officer, Secretary, and Compliance Officer, adopted a Rule 10b5- 1 trading arrangement that is intended to satisfy the affirmative defense of Rule 10b5- 1(c) for the sale of up to 28,080 shares of the Company’s common stock until March 31, 2026.</w:t>
      </w:r>
    </w:p>
    <w:p>
      <w:pPr>
        <w:spacing w:after="0" w:line="141" w:lineRule="exact"/>
        <w:rPr>
          <w:sz w:val="20"/>
          <w:szCs w:val="20"/>
          <w:color w:val="auto"/>
        </w:rPr>
      </w:pPr>
    </w:p>
    <w:p>
      <w:pPr>
        <w:ind w:left="320"/>
        <w:spacing w:after="0" w:line="304" w:lineRule="auto"/>
        <w:rPr>
          <w:sz w:val="20"/>
          <w:szCs w:val="20"/>
          <w:color w:val="auto"/>
        </w:rPr>
      </w:pPr>
      <w:r>
        <w:rPr>
          <w:rFonts w:ascii="Times New Roman" w:cs="Times New Roman" w:eastAsia="Times New Roman" w:hAnsi="Times New Roman"/>
          <w:sz w:val="17"/>
          <w:szCs w:val="17"/>
          <w:color w:val="auto"/>
        </w:rPr>
        <w:t>On March 27, 2025, Timothy J. Sangiovanni, Senior Vice President, Finance and Corporate Controller, adopted a Rule 10b5- 1 trading arrangement that is intended to satisfy the affirmative defense of Rule 10b5- 1(c) for the sale of up to 4,750 shares of the Company’s common stock until March 31, 2026.</w:t>
      </w:r>
    </w:p>
    <w:p>
      <w:pPr>
        <w:spacing w:after="0" w:line="141"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March 31, 2025, no director or officer of the Company adopted or terminated a “Rule 10b5-1 trading arrangement” or “non-Rule 10b5- 1 trading arrangement,” as each term is defined in Item 408(a) of Regulation 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list of exhibits filed as part of this Form 10-Q (the SEC file number for all items incorporated by reference herein from reports on Forms 10-K, 10-Q, and 8-K is 001-36913):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5"/>
        </w:trPr>
        <w:tc>
          <w:tcPr>
            <w:tcW w:w="10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2.1*+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auto"/>
            </w:tcBorders>
            <w:gridSpan w:val="10"/>
          </w:tcPr>
          <w:p>
            <w:pPr>
              <w:spacing w:after="0" w:line="165" w:lineRule="exact"/>
              <w:rPr>
                <w:sz w:val="20"/>
                <w:szCs w:val="20"/>
                <w:color w:val="auto"/>
              </w:rPr>
            </w:pPr>
            <w:r>
              <w:rPr>
                <w:rFonts w:ascii="Times New Roman" w:cs="Times New Roman" w:eastAsia="Times New Roman" w:hAnsi="Times New Roman"/>
                <w:sz w:val="18"/>
                <w:szCs w:val="18"/>
                <w:color w:val="0000EE"/>
              </w:rPr>
              <w:t>Asset Purchase Agreement dated February 26, 2025.</w:t>
            </w: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6"/>
                <w:szCs w:val="16"/>
                <w:color w:val="auto"/>
              </w:rPr>
            </w:pPr>
          </w:p>
        </w:tc>
        <w:tc>
          <w:tcPr>
            <w:tcW w:w="998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Amended and Restated Certificate of Incorporation of Zevra Therapeutics, Inc. (incorporated herein by reference to the Registrant’s Current</w:t>
              </w:r>
            </w:hyperlink>
          </w:p>
        </w:tc>
        <w:tc>
          <w:tcPr>
            <w:tcW w:w="20" w:type="dxa"/>
            <w:vAlign w:val="bottom"/>
          </w:tcPr>
          <w:p>
            <w:pPr>
              <w:spacing w:after="0"/>
              <w:rPr>
                <w:sz w:val="16"/>
                <w:szCs w:val="16"/>
                <w:color w:val="auto"/>
              </w:rPr>
            </w:pPr>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12"/>
          </w:tcPr>
          <w:p>
            <w:pPr>
              <w:spacing w:after="0" w:line="192"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Report on Form 8-K as filed with the SEC on April 21, 2015).</w:t>
              </w:r>
            </w:hyperlink>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3.1.1</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Amendment of Amended and Restated Certificate of Incorporation of the Registrant, effective as of December 23, 2020</w:t>
              </w:r>
            </w:hyperlink>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8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(incorporated herein by reference to Registrant's Current Report on Form 8-K as filed with the SEC on December 23, 2020).</w:t>
              </w:r>
            </w:hyperlink>
          </w:p>
        </w:tc>
        <w:tc>
          <w:tcPr>
            <w:tcW w:w="1220" w:type="dxa"/>
            <w:vAlign w:val="bottom"/>
            <w:gridSpan w:val="2"/>
          </w:tcPr>
          <w:p>
            <w:pPr>
              <w:spacing w:after="0"/>
              <w:rPr>
                <w:sz w:val="16"/>
                <w:szCs w:val="16"/>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3.1.2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Amendment of Amended and Restated Certificate of Incorporation of Zevra Therapeutics, Inc. (incorporated herein by</w:t>
              </w:r>
            </w:hyperlink>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12"/>
          </w:tcPr>
          <w:p>
            <w:pPr>
              <w:spacing w:after="0" w:line="192"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reference to the Registrant's Current Report on Form 8-K as filed with the SEC on February 24, 2023).</w:t>
              </w:r>
            </w:hyperlink>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Bylaws, as currently in effect, of Zevra Therapeutics, Inc. (incorporated herein by reference to the Registrant's</w:t>
              </w:r>
            </w:hyperlink>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4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Current Report on Form 8-K as filed with the SEC on February 28, 2024).</w:t>
              </w:r>
            </w:hyperlink>
          </w:p>
        </w:tc>
        <w:tc>
          <w:tcPr>
            <w:tcW w:w="4760" w:type="dxa"/>
            <w:vAlign w:val="bottom"/>
            <w:gridSpan w:val="6"/>
          </w:tcPr>
          <w:p>
            <w:pPr>
              <w:spacing w:after="0"/>
              <w:rPr>
                <w:sz w:val="16"/>
                <w:szCs w:val="16"/>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Specimen stock certificate evidencing shares of Common Stock (incorporated herein by reference to the Registrant's Annual Report on Form</w:t>
              </w:r>
            </w:hyperlink>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10-K as filed with the SEC on March 12, 2021).</w:t>
              </w:r>
            </w:hyperlink>
          </w:p>
        </w:tc>
        <w:tc>
          <w:tcPr>
            <w:tcW w:w="6600" w:type="dxa"/>
            <w:vAlign w:val="bottom"/>
            <w:gridSpan w:val="9"/>
          </w:tcPr>
          <w:p>
            <w:pPr>
              <w:spacing w:after="0"/>
              <w:rPr>
                <w:sz w:val="16"/>
                <w:szCs w:val="16"/>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10.1*</w:t>
            </w:r>
          </w:p>
        </w:tc>
        <w:tc>
          <w:tcPr>
            <w:tcW w:w="240" w:type="dxa"/>
            <w:vAlign w:val="bottom"/>
          </w:tcPr>
          <w:p>
            <w:pPr>
              <w:spacing w:after="0"/>
              <w:rPr>
                <w:sz w:val="16"/>
                <w:szCs w:val="16"/>
                <w:color w:val="auto"/>
              </w:rPr>
            </w:pPr>
          </w:p>
        </w:tc>
        <w:tc>
          <w:tcPr>
            <w:tcW w:w="7440" w:type="dxa"/>
            <w:vAlign w:val="bottom"/>
            <w:tcBorders>
              <w:bottom w:val="single" w:sz="8" w:color="0000EE"/>
            </w:tcBorders>
            <w:gridSpan w:val="9"/>
          </w:tcPr>
          <w:p>
            <w:pPr>
              <w:spacing w:after="0" w:line="192" w:lineRule="exact"/>
              <w:rPr>
                <w:sz w:val="20"/>
                <w:szCs w:val="20"/>
                <w:color w:val="auto"/>
              </w:rPr>
            </w:pPr>
            <w:r>
              <w:rPr>
                <w:rFonts w:ascii="Times New Roman" w:cs="Times New Roman" w:eastAsia="Times New Roman" w:hAnsi="Times New Roman"/>
                <w:sz w:val="18"/>
                <w:szCs w:val="18"/>
                <w:color w:val="0000EE"/>
                <w:w w:val="97"/>
              </w:rPr>
              <w:t>Tenth Amended and Restated Non-Employee Director Compensation Policy effective February 15, 2025.</w:t>
            </w:r>
          </w:p>
        </w:tc>
        <w:tc>
          <w:tcPr>
            <w:tcW w:w="2560" w:type="dxa"/>
            <w:vAlign w:val="bottom"/>
            <w:gridSpan w:val="3"/>
          </w:tcPr>
          <w:p>
            <w:pPr>
              <w:spacing w:after="0"/>
              <w:rPr>
                <w:sz w:val="16"/>
                <w:szCs w:val="16"/>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16"/>
                <w:szCs w:val="16"/>
                <w:color w:val="auto"/>
              </w:rPr>
            </w:pPr>
          </w:p>
        </w:tc>
        <w:tc>
          <w:tcPr>
            <w:tcW w:w="9980" w:type="dxa"/>
            <w:vAlign w:val="bottom"/>
            <w:tcBorders>
              <w:bottom w:val="single" w:sz="8" w:color="0000EE"/>
            </w:tcBorders>
            <w:gridSpan w:val="11"/>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or Rule 15d-14(a) of the Securities Exchange Act of 1934, as</w:t>
            </w:r>
          </w:p>
        </w:tc>
        <w:tc>
          <w:tcPr>
            <w:tcW w:w="20" w:type="dxa"/>
            <w:vAlign w:val="bottom"/>
          </w:tcPr>
          <w:p>
            <w:pPr>
              <w:spacing w:after="0"/>
              <w:rPr>
                <w:sz w:val="16"/>
                <w:szCs w:val="16"/>
                <w:color w:val="auto"/>
              </w:rPr>
            </w:pPr>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0000EE"/>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4"/>
              </w:rPr>
              <w:t>amended.</w:t>
            </w:r>
          </w:p>
        </w:tc>
        <w:tc>
          <w:tcPr>
            <w:tcW w:w="9320" w:type="dxa"/>
            <w:vAlign w:val="bottom"/>
            <w:gridSpan w:val="10"/>
          </w:tcPr>
          <w:p>
            <w:pPr>
              <w:spacing w:after="0"/>
              <w:rPr>
                <w:sz w:val="16"/>
                <w:szCs w:val="16"/>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Rule 15d-14(a) of the Securities Exchange Act of 1934, as</w:t>
            </w:r>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0000EE"/>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4"/>
              </w:rPr>
              <w:t>amended.</w:t>
            </w:r>
          </w:p>
        </w:tc>
        <w:tc>
          <w:tcPr>
            <w:tcW w:w="9320" w:type="dxa"/>
            <w:vAlign w:val="bottom"/>
            <w:gridSpan w:val="10"/>
          </w:tcPr>
          <w:p>
            <w:pPr>
              <w:spacing w:after="0"/>
              <w:rPr>
                <w:sz w:val="16"/>
                <w:szCs w:val="16"/>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32.1**</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13a-14(b) of the Securities Exchange Act of 1934, as amended, and 18.</w:t>
            </w:r>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gridSpan w:val="7"/>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r>
      <w:tr>
        <w:trPr>
          <w:trHeight w:val="192"/>
        </w:trPr>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32.2**</w:t>
            </w:r>
          </w:p>
        </w:tc>
        <w:tc>
          <w:tcPr>
            <w:tcW w:w="240" w:type="dxa"/>
            <w:vAlign w:val="bottom"/>
          </w:tcPr>
          <w:p>
            <w:pPr>
              <w:spacing w:after="0"/>
              <w:rPr>
                <w:sz w:val="16"/>
                <w:szCs w:val="16"/>
                <w:color w:val="auto"/>
              </w:rPr>
            </w:pPr>
          </w:p>
        </w:tc>
        <w:tc>
          <w:tcPr>
            <w:tcW w:w="10000" w:type="dxa"/>
            <w:vAlign w:val="bottom"/>
            <w:tcBorders>
              <w:bottom w:val="single" w:sz="8" w:color="0000EE"/>
            </w:tcBorders>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13a-14(b) of the Securities Exchange Act of 1934, as amended, and 18.</w:t>
            </w:r>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 of 2002.</w:t>
            </w:r>
          </w:p>
        </w:tc>
      </w:tr>
      <w:tr>
        <w:trPr>
          <w:trHeight w:val="21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240" w:type="dxa"/>
            <w:vAlign w:val="bottom"/>
          </w:tcPr>
          <w:p>
            <w:pPr>
              <w:spacing w:after="0"/>
              <w:rPr>
                <w:sz w:val="18"/>
                <w:szCs w:val="18"/>
                <w:color w:val="auto"/>
              </w:rPr>
            </w:pPr>
          </w:p>
        </w:tc>
        <w:tc>
          <w:tcPr>
            <w:tcW w:w="6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460" w:type="dxa"/>
            <w:vAlign w:val="bottom"/>
            <w:gridSpan w:val="5"/>
          </w:tcPr>
          <w:p>
            <w:pPr>
              <w:spacing w:after="0"/>
              <w:rPr>
                <w:sz w:val="18"/>
                <w:szCs w:val="18"/>
                <w:color w:val="auto"/>
              </w:rPr>
            </w:pPr>
          </w:p>
        </w:tc>
      </w:tr>
      <w:tr>
        <w:trPr>
          <w:trHeight w:val="2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240" w:type="dxa"/>
            <w:vAlign w:val="bottom"/>
          </w:tcPr>
          <w:p>
            <w:pPr>
              <w:spacing w:after="0"/>
              <w:rPr>
                <w:sz w:val="18"/>
                <w:szCs w:val="18"/>
                <w:color w:val="auto"/>
              </w:rPr>
            </w:pPr>
          </w:p>
        </w:tc>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240" w:type="dxa"/>
            <w:vAlign w:val="bottom"/>
          </w:tcPr>
          <w:p>
            <w:pPr>
              <w:spacing w:after="0"/>
              <w:rPr>
                <w:sz w:val="18"/>
                <w:szCs w:val="18"/>
                <w:color w:val="auto"/>
              </w:rPr>
            </w:pPr>
          </w:p>
        </w:tc>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101.DEF*</w:t>
            </w:r>
          </w:p>
        </w:tc>
        <w:tc>
          <w:tcPr>
            <w:tcW w:w="240" w:type="dxa"/>
            <w:vAlign w:val="bottom"/>
          </w:tcPr>
          <w:p>
            <w:pPr>
              <w:spacing w:after="0"/>
              <w:rPr>
                <w:sz w:val="18"/>
                <w:szCs w:val="18"/>
                <w:color w:val="auto"/>
              </w:rPr>
            </w:pPr>
          </w:p>
        </w:tc>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240" w:type="dxa"/>
            <w:vAlign w:val="bottom"/>
          </w:tcPr>
          <w:p>
            <w:pPr>
              <w:spacing w:after="0"/>
              <w:rPr>
                <w:sz w:val="18"/>
                <w:szCs w:val="18"/>
                <w:color w:val="auto"/>
              </w:rPr>
            </w:pPr>
          </w:p>
        </w:tc>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240" w:type="dxa"/>
            <w:vAlign w:val="bottom"/>
          </w:tcPr>
          <w:p>
            <w:pPr>
              <w:spacing w:after="0"/>
              <w:rPr>
                <w:sz w:val="18"/>
                <w:szCs w:val="18"/>
                <w:color w:val="auto"/>
              </w:rPr>
            </w:pPr>
          </w:p>
        </w:tc>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240" w:type="dxa"/>
            <w:vAlign w:val="bottom"/>
          </w:tcPr>
          <w:p>
            <w:pPr>
              <w:spacing w:after="0"/>
              <w:rPr>
                <w:sz w:val="20"/>
                <w:szCs w:val="20"/>
                <w:color w:val="auto"/>
              </w:rPr>
            </w:pPr>
          </w:p>
        </w:tc>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combined in Exhibit 101)</w:t>
            </w:r>
          </w:p>
        </w:tc>
      </w:tr>
    </w:tbl>
    <w:p>
      <w:pPr>
        <w:spacing w:after="0" w:line="193" w:lineRule="exact"/>
        <w:rPr>
          <w:sz w:val="20"/>
          <w:szCs w:val="20"/>
          <w:color w:val="auto"/>
        </w:rPr>
      </w:pPr>
    </w:p>
    <w:p>
      <w:pPr>
        <w:ind w:left="500" w:hanging="494"/>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4" w:lineRule="exact"/>
        <w:rPr>
          <w:sz w:val="20"/>
          <w:szCs w:val="20"/>
          <w:color w:val="auto"/>
        </w:rPr>
      </w:pPr>
    </w:p>
    <w:p>
      <w:pPr>
        <w:ind w:left="500" w:hanging="494"/>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 w:lineRule="exact"/>
        <w:rPr>
          <w:sz w:val="20"/>
          <w:szCs w:val="20"/>
          <w:color w:val="auto"/>
        </w:rPr>
      </w:pPr>
    </w:p>
    <w:p>
      <w:pPr>
        <w:ind w:left="500" w:right="620" w:hanging="494"/>
        <w:spacing w:after="0" w:line="245"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identified by the mark, “[*]”, have been omitted because such portions contained information that is both (i) not material and (ii) the type that the Registrant treats as private or confidential.</w:t>
      </w:r>
    </w:p>
    <w:p>
      <w:pPr>
        <w:spacing w:after="0" w:line="1" w:lineRule="exact"/>
        <w:rPr>
          <w:rFonts w:ascii="Times New Roman" w:cs="Times New Roman" w:eastAsia="Times New Roman" w:hAnsi="Times New Roman"/>
          <w:sz w:val="18"/>
          <w:szCs w:val="18"/>
          <w:color w:val="auto"/>
        </w:rPr>
      </w:pPr>
    </w:p>
    <w:p>
      <w:pPr>
        <w:ind w:left="500" w:right="260" w:hanging="450"/>
        <w:spacing w:after="0" w:line="248" w:lineRule="auto"/>
        <w:tabs>
          <w:tab w:leader="none" w:pos="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66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Zevra Therapeutics, Inc.</w:t>
            </w:r>
          </w:p>
        </w:tc>
      </w:tr>
      <w:tr>
        <w:trPr>
          <w:trHeight w:val="4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13, 2025</w:t>
            </w: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87"/>
        </w:trPr>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Neil F. McFarlane</w:t>
            </w:r>
          </w:p>
        </w:tc>
      </w:tr>
      <w:tr>
        <w:trPr>
          <w:trHeight w:val="212"/>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1"/>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13, 2025</w:t>
            </w: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87"/>
        </w:trPr>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R. LaDuane Clifton, MBA, CPA</w:t>
            </w:r>
          </w:p>
        </w:tc>
      </w:tr>
      <w:tr>
        <w:trPr>
          <w:trHeight w:val="212"/>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1"/>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4"/>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41</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1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February 26,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Zevra Therapeutics, Inc., a corporation organized under the laws of Delaware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xml:space="preserve">”), and solely with respect to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 Zevra Denmark A/S, a Danish public limited company (“</w:t>
      </w:r>
      <w:r>
        <w:rPr>
          <w:rFonts w:ascii="Times New Roman" w:cs="Times New Roman" w:eastAsia="Times New Roman" w:hAnsi="Times New Roman"/>
          <w:sz w:val="18"/>
          <w:szCs w:val="18"/>
          <w:b w:val="1"/>
          <w:bCs w:val="1"/>
          <w:i w:val="1"/>
          <w:iCs w:val="1"/>
          <w:color w:val="auto"/>
        </w:rPr>
        <w:t>Zevra DN</w:t>
      </w:r>
      <w:r>
        <w:rPr>
          <w:rFonts w:ascii="Times New Roman" w:cs="Times New Roman" w:eastAsia="Times New Roman" w:hAnsi="Times New Roman"/>
          <w:sz w:val="18"/>
          <w:szCs w:val="18"/>
          <w:color w:val="auto"/>
        </w:rPr>
        <w:t>”). Buyer and Seller may hereinafter be referred to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is the holder of all right, title and interest in and to the Priority Review Voucher (as defined below);</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and Buyer each (i) desire that Buyer purchase from Seller, and Seller sell, transfer and assign to Buyer, the Purchased Assets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all on the terms set forth herein (such transaction, the “</w:t>
      </w:r>
      <w:r>
        <w:rPr>
          <w:rFonts w:ascii="Times New Roman" w:cs="Times New Roman" w:eastAsia="Times New Roman" w:hAnsi="Times New Roman"/>
          <w:sz w:val="18"/>
          <w:szCs w:val="18"/>
          <w:b w:val="1"/>
          <w:bCs w:val="1"/>
          <w:i w:val="1"/>
          <w:iCs w:val="1"/>
          <w:color w:val="auto"/>
        </w:rPr>
        <w:t>Asset Purchase</w:t>
      </w:r>
      <w:r>
        <w:rPr>
          <w:rFonts w:ascii="Times New Roman" w:cs="Times New Roman" w:eastAsia="Times New Roman" w:hAnsi="Times New Roman"/>
          <w:sz w:val="18"/>
          <w:szCs w:val="18"/>
          <w:color w:val="auto"/>
        </w:rPr>
        <w:t>”) and (ii) in furtherance thereof, have duly authorized, approved and executed this Agreement and the other transactions contemplated by this Agreement in accordance with all applicable Legal Requirements (as defined below); and</w:t>
      </w:r>
    </w:p>
    <w:p>
      <w:pPr>
        <w:spacing w:after="0" w:line="17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and Buyer desire to make certain representations, warranties, covenants and other agreements in connection with the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as set forth herein.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their mutual undertakings hereinafter set forth, and intending to be legally bound,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9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shall have the meanings indicated below:</w:t>
      </w:r>
    </w:p>
    <w:p>
      <w:pPr>
        <w:spacing w:after="0" w:line="213" w:lineRule="exact"/>
        <w:rPr>
          <w:sz w:val="20"/>
          <w:szCs w:val="20"/>
          <w:color w:val="auto"/>
        </w:rPr>
      </w:pPr>
    </w:p>
    <w:p>
      <w:pPr>
        <w:jc w:val="both"/>
        <w:ind w:firstLine="642"/>
        <w:spacing w:after="0" w:line="251" w:lineRule="auto"/>
        <w:tabs>
          <w:tab w:leader="none" w:pos="10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which, directly or indirectly through one or more intermediaries, controls, is controlled by or is under common control with such first Person, for so long as such control exists, whether such Person is or becomes an Affiliate on or after the Effective Date. A Person shall be deemed to “control” another Person if it: (i) with respect to such other Person that is a corporation, owns, directly or indirectly, beneficially or legally, at least fifty percent (50%) or more of the outstanding voting securities or capital stock (or such lesser percentage which is the maximum allowed to be owned by such Person in a particular jurisdiction) of such other Person, or, with respect to such other Person that is not a corporation, has other comparable ownership interest; or (ii) has the power, whether pursuant to contract, ownership of securities or otherwise, to direct the management and policies of such other Person.</w:t>
      </w:r>
    </w:p>
    <w:p>
      <w:pPr>
        <w:spacing w:after="0" w:line="180" w:lineRule="exact"/>
        <w:rPr>
          <w:rFonts w:ascii="Times New Roman" w:cs="Times New Roman" w:eastAsia="Times New Roman" w:hAnsi="Times New Roman"/>
          <w:sz w:val="18"/>
          <w:szCs w:val="18"/>
          <w:color w:val="auto"/>
        </w:rPr>
      </w:pPr>
    </w:p>
    <w:p>
      <w:pPr>
        <w:jc w:val="both"/>
        <w:ind w:firstLine="642"/>
        <w:spacing w:after="0" w:line="270" w:lineRule="auto"/>
        <w:tabs>
          <w:tab w:leader="none" w:pos="103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Alternative Transaction</w:t>
      </w:r>
      <w:r>
        <w:rPr>
          <w:rFonts w:ascii="Times New Roman" w:cs="Times New Roman" w:eastAsia="Times New Roman" w:hAnsi="Times New Roman"/>
          <w:sz w:val="17"/>
          <w:szCs w:val="17"/>
          <w:color w:val="auto"/>
        </w:rPr>
        <w:t xml:space="preserve">” means, other than the transactions contemplated by this Agreement, any proposal or offer from any Person or group of Persons (other than Buyer or its Affiliates or their respective Representatives) for any acquisition by, or transfer, assignment, encumbrance, license or other grant of rights or disposition to, such Person or group of Persons of any right, title or interest in or to the Purchased Assets;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w:t>
      </w:r>
      <w:r>
        <w:rPr>
          <w:rFonts w:ascii="Times New Roman" w:cs="Times New Roman" w:eastAsia="Times New Roman" w:hAnsi="Times New Roman"/>
          <w:sz w:val="17"/>
          <w:szCs w:val="17"/>
          <w:b w:val="1"/>
          <w:bCs w:val="1"/>
          <w:i w:val="1"/>
          <w:iCs w:val="1"/>
          <w:color w:val="auto"/>
        </w:rPr>
        <w:t>Alternative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Transaction</w:t>
      </w:r>
      <w:r>
        <w:rPr>
          <w:rFonts w:ascii="Times New Roman" w:cs="Times New Roman" w:eastAsia="Times New Roman" w:hAnsi="Times New Roman"/>
          <w:sz w:val="17"/>
          <w:szCs w:val="17"/>
          <w:color w:val="auto"/>
        </w:rPr>
        <w:t>” shall not include any debt or equity financing transaction of the Seller or any acquisition of substantially all of Seller’s assets or a majority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 or indirect equity interests in Seller (whether through a stock purchase, merger, sale of all or substantially all assets or otherwise) so long as such acquisition provides that this Agreement continues to be binding, enforceable and in full force and effect on the same terms in effect as of the Effective Date.</w:t>
      </w:r>
    </w:p>
    <w:p>
      <w:pPr>
        <w:spacing w:after="0" w:line="164" w:lineRule="exact"/>
        <w:rPr>
          <w:rFonts w:ascii="Times New Roman" w:cs="Times New Roman" w:eastAsia="Times New Roman" w:hAnsi="Times New Roman"/>
          <w:sz w:val="17"/>
          <w:szCs w:val="17"/>
          <w:color w:val="auto"/>
        </w:rPr>
      </w:pPr>
    </w:p>
    <w:p>
      <w:pPr>
        <w:ind w:firstLine="642"/>
        <w:spacing w:after="0" w:line="278" w:lineRule="auto"/>
        <w:tabs>
          <w:tab w:leader="none" w:pos="10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Approval Letter</w:t>
      </w:r>
      <w:r>
        <w:rPr>
          <w:rFonts w:ascii="Times New Roman" w:cs="Times New Roman" w:eastAsia="Times New Roman" w:hAnsi="Times New Roman"/>
          <w:sz w:val="18"/>
          <w:szCs w:val="18"/>
          <w:color w:val="auto"/>
        </w:rPr>
        <w:t xml:space="preserve">” means the letter from the FDA dated September 20, 2024, approving the Subject NDA, Reference ID 5449826,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1060" w:hanging="418"/>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New York, New</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w:t>
      </w:r>
    </w:p>
    <w:p>
      <w:pPr>
        <w:spacing w:after="0" w:line="193" w:lineRule="exact"/>
        <w:rPr>
          <w:rFonts w:ascii="Times New Roman" w:cs="Times New Roman" w:eastAsia="Times New Roman" w:hAnsi="Times New Roman"/>
          <w:sz w:val="18"/>
          <w:szCs w:val="18"/>
          <w:color w:val="auto"/>
        </w:rPr>
      </w:pPr>
    </w:p>
    <w:p>
      <w:pPr>
        <w:jc w:val="both"/>
        <w:ind w:firstLine="642"/>
        <w:spacing w:after="0" w:line="214" w:lineRule="exact"/>
        <w:tabs>
          <w:tab w:leader="none" w:pos="11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(i) any and all confidential and proprietary information, including but not limited to, data, results, conclusions,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experience, financial information, plans and forecasts, that may be delivered, made available, disclosed or communicated by a Party or its Affiliates or their respective Representatives to the other Party or its Affiliates or their respective Representatives, related to the subject matter hereof or otherwise in connection with this Agreement and (ii) the terms, conditions and existence of this Agreement. “Confidential Information” will not include information that (A) at the time of disclosure, is generally available to the public, (B) after disclosure hereunder, becomes generally available to the public, except as a result of a breach of this Agreement by the recipient of such information, (C) becomes available to the recipient of such information from a Third Party that is not legally or contractually prohibited by the disclosing Party from disclosing such Confidential Information; or (D) was developed by or for the recipient of such information without the use of or reference to any of the Confidential Information of the disclosing Party or its Affiliates, as evidenced by the recipient’s contemporaneous written records. Notwithstanding anything herein to the contrary, all Confidential Information included within the Purchased Assets shall constitute Confidential Information of the Buyer from and after the Closing Date.</w:t>
      </w:r>
    </w:p>
    <w:p>
      <w:pPr>
        <w:spacing w:after="0" w:line="193" w:lineRule="exact"/>
        <w:rPr>
          <w:rFonts w:ascii="Times New Roman" w:cs="Times New Roman" w:eastAsia="Times New Roman" w:hAnsi="Times New Roman"/>
          <w:sz w:val="18"/>
          <w:szCs w:val="18"/>
          <w:color w:val="auto"/>
        </w:rPr>
      </w:pPr>
    </w:p>
    <w:p>
      <w:pPr>
        <w:ind w:firstLine="642"/>
        <w:spacing w:after="0" w:line="278" w:lineRule="auto"/>
        <w:tabs>
          <w:tab w:leader="none" w:pos="10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oral legally binding contract, agreement, instrument, commitment or undertaking (including leases, licenses, mortgages, notes, guarantees, sublicenses, subcontracts and purchase orders).</w:t>
      </w:r>
    </w:p>
    <w:p>
      <w:pPr>
        <w:spacing w:after="0" w:line="156" w:lineRule="exact"/>
        <w:rPr>
          <w:rFonts w:ascii="Times New Roman" w:cs="Times New Roman" w:eastAsia="Times New Roman" w:hAnsi="Times New Roman"/>
          <w:sz w:val="18"/>
          <w:szCs w:val="18"/>
          <w:color w:val="auto"/>
        </w:rPr>
      </w:pPr>
    </w:p>
    <w:p>
      <w:pPr>
        <w:ind w:firstLine="642"/>
        <w:spacing w:after="0" w:line="309" w:lineRule="auto"/>
        <w:tabs>
          <w:tab w:leader="none" w:pos="104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Encumbrance</w:t>
      </w:r>
      <w:r>
        <w:rPr>
          <w:rFonts w:ascii="Times New Roman" w:cs="Times New Roman" w:eastAsia="Times New Roman" w:hAnsi="Times New Roman"/>
          <w:sz w:val="17"/>
          <w:szCs w:val="17"/>
          <w:color w:val="auto"/>
        </w:rPr>
        <w:t>” means any lien, pledge, charge, mortgage, easement, encroachment, imperfection of title, title exception, title defect, right of possession, lease, security interest, encumbrance, right of negotiation or refusal, adverse claim, interference or other restriction on ownership, use or transfer.</w:t>
      </w:r>
    </w:p>
    <w:p>
      <w:pPr>
        <w:spacing w:after="0" w:line="132" w:lineRule="exact"/>
        <w:rPr>
          <w:rFonts w:ascii="Times New Roman" w:cs="Times New Roman" w:eastAsia="Times New Roman" w:hAnsi="Times New Roman"/>
          <w:sz w:val="17"/>
          <w:szCs w:val="17"/>
          <w:color w:val="auto"/>
        </w:rPr>
      </w:pPr>
    </w:p>
    <w:p>
      <w:pPr>
        <w:ind w:left="1020" w:hanging="378"/>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means the United States Federal Food, Drug, and Cosmetic Act.</w:t>
      </w:r>
    </w:p>
    <w:p>
      <w:pPr>
        <w:spacing w:after="0" w:line="217" w:lineRule="exact"/>
        <w:rPr>
          <w:rFonts w:ascii="Times New Roman" w:cs="Times New Roman" w:eastAsia="Times New Roman" w:hAnsi="Times New Roman"/>
          <w:sz w:val="18"/>
          <w:szCs w:val="18"/>
          <w:color w:val="auto"/>
        </w:rPr>
      </w:pPr>
    </w:p>
    <w:p>
      <w:pPr>
        <w:ind w:firstLine="642"/>
        <w:spacing w:after="0" w:line="278" w:lineRule="auto"/>
        <w:tabs>
          <w:tab w:leader="none" w:pos="9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a party’s actual and intentional fraud under Delaware common law in the making of any representations and warranties made by such party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as applicable.</w:t>
      </w:r>
    </w:p>
    <w:p>
      <w:pPr>
        <w:sectPr>
          <w:pgSz w:w="11900" w:h="16838" w:orient="portrait"/>
          <w:cols w:equalWidth="0" w:num="1">
            <w:col w:w="11240"/>
          </w:cols>
          <w:pgMar w:left="320" w:top="119" w:right="339" w:bottom="0" w:gutter="0" w:footer="0" w:header="0"/>
        </w:sectPr>
      </w:pPr>
    </w:p>
    <w:bookmarkStart w:id="45" w:name="page46"/>
    <w:bookmarkEnd w:id="45"/>
    <w:p>
      <w:pPr>
        <w:spacing w:after="0" w:line="278" w:lineRule="auto"/>
        <w:tabs>
          <w:tab w:leader="none" w:pos="97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ind w:left="-642" w:firstLine="642"/>
        <w:spacing w:after="0" w:line="278" w:lineRule="auto"/>
        <w:tabs>
          <w:tab w:leader="none" w:pos="5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jc w:val="both"/>
        <w:ind w:left="-642" w:firstLine="642"/>
        <w:spacing w:after="0" w:line="225" w:lineRule="exact"/>
        <w:tabs>
          <w:tab w:leader="none" w:pos="4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supranational, national, state, municipal, local or foreign government, any court, tribunal, arbitrator, administrative agency, commission or other governmental official, authority or instrumentality, in each case whether domestic or foreign, any stock exchange or similar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regulatory organization or any quasi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or private body exercising any regulatory, taxing or other governmental or quasi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authority.</w:t>
      </w:r>
    </w:p>
    <w:p>
      <w:pPr>
        <w:spacing w:after="0" w:line="128" w:lineRule="exact"/>
        <w:rPr>
          <w:rFonts w:ascii="Times New Roman" w:cs="Times New Roman" w:eastAsia="Times New Roman" w:hAnsi="Times New Roman"/>
          <w:sz w:val="18"/>
          <w:szCs w:val="18"/>
          <w:color w:val="auto"/>
        </w:rPr>
      </w:pPr>
    </w:p>
    <w:p>
      <w:pPr>
        <w:ind w:left="438" w:hanging="438"/>
        <w:spacing w:after="0" w:line="207" w:lineRule="exact"/>
        <w:tabs>
          <w:tab w:leader="none" w:pos="4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Scott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Rodino Antitrust Improvements Act of 1976, and the rules and regulations promulgated thereunder.</w:t>
      </w:r>
    </w:p>
    <w:p>
      <w:pPr>
        <w:spacing w:after="0" w:line="251" w:lineRule="exact"/>
        <w:rPr>
          <w:rFonts w:ascii="Times New Roman" w:cs="Times New Roman" w:eastAsia="Times New Roman" w:hAnsi="Times New Roman"/>
          <w:sz w:val="18"/>
          <w:szCs w:val="18"/>
          <w:color w:val="auto"/>
        </w:rPr>
      </w:pPr>
    </w:p>
    <w:p>
      <w:pPr>
        <w:ind w:left="-642" w:firstLine="642"/>
        <w:spacing w:after="0" w:line="278" w:lineRule="auto"/>
        <w:tabs>
          <w:tab w:leader="none" w:pos="4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with respect to Seller, the actual knowledge of the facts and information of Neil McFarlane, Josh Schafer, LaDuane Clifton, Gerald Orehostky, and Rahsaan Thompson, after performing a reasonable inquiry with respect to such facts and information.</w:t>
      </w:r>
    </w:p>
    <w:p>
      <w:pPr>
        <w:spacing w:after="0" w:line="156" w:lineRule="exact"/>
        <w:rPr>
          <w:rFonts w:ascii="Times New Roman" w:cs="Times New Roman" w:eastAsia="Times New Roman" w:hAnsi="Times New Roman"/>
          <w:sz w:val="18"/>
          <w:szCs w:val="18"/>
          <w:color w:val="auto"/>
        </w:rPr>
      </w:pPr>
    </w:p>
    <w:p>
      <w:pPr>
        <w:jc w:val="both"/>
        <w:ind w:left="-642" w:firstLine="642"/>
        <w:spacing w:after="0" w:line="251" w:lineRule="auto"/>
        <w:tabs>
          <w:tab w:leader="none" w:pos="5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Requirements</w:t>
      </w:r>
      <w:r>
        <w:rPr>
          <w:rFonts w:ascii="Times New Roman" w:cs="Times New Roman" w:eastAsia="Times New Roman" w:hAnsi="Times New Roman"/>
          <w:sz w:val="18"/>
          <w:szCs w:val="18"/>
          <w:color w:val="auto"/>
        </w:rPr>
        <w:t>” means any federal, state, foreign, local, municipal or other law, statute, constitution, principle of common law, resolution, ordinance, code, rule, regulation, ruling or requirement issued, enacted, adopted, promulgated, implemented or otherwise put into effect by or under the authority of any Governmental Entity and any Orders applicable to a Party or to any of its assets, properties or businesses. Legal Requirements shall include, with respect to Seller, any responsibilities, requirements, parameters and conditions relating to the Priority Review Voucher set forth in (i) the Approval Letter, (ii) any other correspondence received by Seller or its Affiliates (including Zevra DN) from the FDA regarding the Priority Review Voucher, or (iii) Section 529 of the FDCA (21 U.S.C. § 360ff), including as interpreted by the FDA in FDA’s Draft Guidance, “Rare Pediatric Disease Priority Review Vouchers – Guidance for Industry” (July 2019).</w:t>
      </w:r>
    </w:p>
    <w:p>
      <w:pPr>
        <w:spacing w:after="0" w:line="180" w:lineRule="exact"/>
        <w:rPr>
          <w:rFonts w:ascii="Times New Roman" w:cs="Times New Roman" w:eastAsia="Times New Roman" w:hAnsi="Times New Roman"/>
          <w:sz w:val="18"/>
          <w:szCs w:val="18"/>
          <w:color w:val="auto"/>
        </w:rPr>
      </w:pPr>
    </w:p>
    <w:p>
      <w:pPr>
        <w:jc w:val="both"/>
        <w:ind w:left="-642" w:firstLine="642"/>
        <w:spacing w:after="0" w:line="262" w:lineRule="auto"/>
        <w:tabs>
          <w:tab w:leader="none" w:pos="3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means all debts, Taxes, liabilities and obligations, whether presently in existence or arising hereafter, accrued or fixed, absolute or contingent, matured or unmatured, determined or determinable, asserted or unasserted, known or unknown, including those arising under any Legal Requirement or any Contract.</w:t>
      </w:r>
    </w:p>
    <w:p>
      <w:pPr>
        <w:spacing w:after="0" w:line="170" w:lineRule="exact"/>
        <w:rPr>
          <w:rFonts w:ascii="Times New Roman" w:cs="Times New Roman" w:eastAsia="Times New Roman" w:hAnsi="Times New Roman"/>
          <w:sz w:val="18"/>
          <w:szCs w:val="18"/>
          <w:color w:val="auto"/>
        </w:rPr>
      </w:pPr>
    </w:p>
    <w:p>
      <w:pPr>
        <w:ind w:left="-642" w:right="20" w:firstLine="642"/>
        <w:spacing w:after="0" w:line="278" w:lineRule="auto"/>
        <w:tabs>
          <w:tab w:leader="none" w:pos="3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Intent to Use</w:t>
      </w:r>
      <w:r>
        <w:rPr>
          <w:rFonts w:ascii="Times New Roman" w:cs="Times New Roman" w:eastAsia="Times New Roman" w:hAnsi="Times New Roman"/>
          <w:sz w:val="18"/>
          <w:szCs w:val="18"/>
          <w:color w:val="auto"/>
        </w:rPr>
        <w:t>” means notification to the FDA not later than ninety (90) days prior to the submission of a human drug application of the intent to use the Priority Review Voucher to obtain Priority Review of a human drug application, as described in 21 U.S.C. § 360ff(b)(4)(B)(i).</w:t>
      </w:r>
    </w:p>
    <w:p>
      <w:pPr>
        <w:spacing w:after="0" w:line="156" w:lineRule="exact"/>
        <w:rPr>
          <w:rFonts w:ascii="Times New Roman" w:cs="Times New Roman" w:eastAsia="Times New Roman" w:hAnsi="Times New Roman"/>
          <w:sz w:val="18"/>
          <w:szCs w:val="18"/>
          <w:color w:val="auto"/>
        </w:rPr>
      </w:pPr>
    </w:p>
    <w:p>
      <w:pPr>
        <w:ind w:left="358" w:hanging="358"/>
        <w:spacing w:after="0"/>
        <w:tabs>
          <w:tab w:leader="none" w:pos="3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order, decree, edict, injunction, writ, award or judgment of any Governmental Entity.</w:t>
      </w:r>
    </w:p>
    <w:p>
      <w:pPr>
        <w:spacing w:after="0" w:line="217" w:lineRule="exact"/>
        <w:rPr>
          <w:rFonts w:ascii="Times New Roman" w:cs="Times New Roman" w:eastAsia="Times New Roman" w:hAnsi="Times New Roman"/>
          <w:sz w:val="18"/>
          <w:szCs w:val="18"/>
          <w:color w:val="auto"/>
        </w:rPr>
      </w:pPr>
    </w:p>
    <w:p>
      <w:pPr>
        <w:ind w:left="-642" w:firstLine="642"/>
        <w:spacing w:after="0" w:line="278" w:lineRule="auto"/>
        <w:tabs>
          <w:tab w:leader="none" w:pos="5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company, corporation, limited liability company, general partnership, limited partnership, trust, proprietorship, joint venture, business organization or Governmental Entity.</w:t>
      </w:r>
    </w:p>
    <w:p>
      <w:pPr>
        <w:spacing w:after="0" w:line="121" w:lineRule="exact"/>
        <w:rPr>
          <w:rFonts w:ascii="Times New Roman" w:cs="Times New Roman" w:eastAsia="Times New Roman" w:hAnsi="Times New Roman"/>
          <w:sz w:val="18"/>
          <w:szCs w:val="18"/>
          <w:color w:val="auto"/>
        </w:rPr>
      </w:pPr>
    </w:p>
    <w:p>
      <w:pPr>
        <w:ind w:left="338" w:hanging="338"/>
        <w:spacing w:after="0" w:line="207" w:lineRule="exact"/>
        <w:tabs>
          <w:tab w:leader="none" w:pos="3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Closing Priority Review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378" w:hanging="378"/>
        <w:spacing w:after="0" w:line="207" w:lineRule="exact"/>
        <w:tabs>
          <w:tab w:leader="none" w:pos="3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Closing PRV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left="-642" w:firstLine="642"/>
        <w:spacing w:after="0" w:line="220" w:lineRule="exact"/>
        <w:tabs>
          <w:tab w:leader="none" w:pos="3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Priority Review</w:t>
      </w:r>
      <w:r>
        <w:rPr>
          <w:rFonts w:ascii="Times New Roman" w:cs="Times New Roman" w:eastAsia="Times New Roman" w:hAnsi="Times New Roman"/>
          <w:sz w:val="18"/>
          <w:szCs w:val="18"/>
          <w:color w:val="auto"/>
        </w:rPr>
        <w:t>” means review and action on a human drug application by the FDA in accordance with the timelines set forth by the FDA for “priority review” applications in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Prescription Drug User Fee Act goals letter, as described in FDA Draft Guidance, “Rare Pediatric Disease Priority Review Vouchers – Guidance for Industry” (July 2019).</w:t>
      </w:r>
    </w:p>
    <w:p>
      <w:pPr>
        <w:spacing w:after="0" w:line="190" w:lineRule="exact"/>
        <w:rPr>
          <w:rFonts w:ascii="Times New Roman" w:cs="Times New Roman" w:eastAsia="Times New Roman" w:hAnsi="Times New Roman"/>
          <w:sz w:val="18"/>
          <w:szCs w:val="18"/>
          <w:color w:val="auto"/>
        </w:rPr>
      </w:pPr>
    </w:p>
    <w:p>
      <w:pPr>
        <w:ind w:left="418" w:hanging="418"/>
        <w:spacing w:after="0"/>
        <w:tabs>
          <w:tab w:leader="none" w:pos="4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Priority Review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2" w:firstLine="642"/>
        <w:spacing w:after="0" w:line="262" w:lineRule="auto"/>
        <w:tabs>
          <w:tab w:leader="none" w:pos="4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Priority Review Voucher</w:t>
      </w:r>
      <w:r>
        <w:rPr>
          <w:rFonts w:ascii="Times New Roman" w:cs="Times New Roman" w:eastAsia="Times New Roman" w:hAnsi="Times New Roman"/>
          <w:sz w:val="18"/>
          <w:szCs w:val="18"/>
          <w:color w:val="auto"/>
        </w:rPr>
        <w:t>” means the priority review voucher issued by the United States Secretary of Health and Human Services, Food and Drug Administration, to Zevra DN, as evidenced in the Approval Letter, identified by priority review voucher number PRV NDA 214927, and subsequently transferred by Zevra DN to Seller.</w:t>
      </w:r>
    </w:p>
    <w:p>
      <w:pPr>
        <w:spacing w:after="0" w:line="170" w:lineRule="exact"/>
        <w:rPr>
          <w:rFonts w:ascii="Times New Roman" w:cs="Times New Roman" w:eastAsia="Times New Roman" w:hAnsi="Times New Roman"/>
          <w:sz w:val="18"/>
          <w:szCs w:val="18"/>
          <w:color w:val="auto"/>
        </w:rPr>
      </w:pPr>
    </w:p>
    <w:p>
      <w:pPr>
        <w:jc w:val="both"/>
        <w:ind w:left="-642" w:firstLine="642"/>
        <w:spacing w:after="0" w:line="262" w:lineRule="auto"/>
        <w:tabs>
          <w:tab w:leader="none" w:pos="4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action, arbitration, audit, hearing, investigation, proceeding, litigation or suit (whether civil, criminal, administrative, judicial or investigative, whether formal or informal, whether public or private) commenced, brought, conducted or heard by or before, or otherwise involving, any Governmental Entity or arbitrator.</w:t>
      </w:r>
    </w:p>
    <w:p>
      <w:pPr>
        <w:spacing w:after="0" w:line="170" w:lineRule="exact"/>
        <w:rPr>
          <w:rFonts w:ascii="Times New Roman" w:cs="Times New Roman" w:eastAsia="Times New Roman" w:hAnsi="Times New Roman"/>
          <w:sz w:val="18"/>
          <w:szCs w:val="18"/>
          <w:color w:val="auto"/>
        </w:rPr>
      </w:pPr>
    </w:p>
    <w:p>
      <w:pPr>
        <w:ind w:left="-642" w:firstLine="642"/>
        <w:spacing w:after="0" w:line="278" w:lineRule="auto"/>
        <w:tabs>
          <w:tab w:leader="none" w:pos="4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Purchased Assets</w:t>
      </w:r>
      <w:r>
        <w:rPr>
          <w:rFonts w:ascii="Times New Roman" w:cs="Times New Roman" w:eastAsia="Times New Roman" w:hAnsi="Times New Roman"/>
          <w:sz w:val="18"/>
          <w:szCs w:val="18"/>
          <w:color w:val="auto"/>
        </w:rPr>
        <w:t>” means (i) the Priority Review Voucher, and (ii) any and all rights, benefits and entitlements afforded to the holder of the Priority Review Voucher.</w:t>
      </w:r>
    </w:p>
    <w:p>
      <w:pPr>
        <w:spacing w:after="0" w:line="156" w:lineRule="exact"/>
        <w:rPr>
          <w:sz w:val="20"/>
          <w:szCs w:val="20"/>
          <w:color w:val="auto"/>
        </w:rPr>
      </w:pPr>
    </w:p>
    <w:p>
      <w:pPr>
        <w:jc w:val="both"/>
        <w:ind w:left="-642" w:firstLine="642"/>
        <w:spacing w:after="0" w:line="262" w:lineRule="auto"/>
        <w:tabs>
          <w:tab w:leader="none" w:pos="4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Change</w:t>
      </w:r>
      <w:r>
        <w:rPr>
          <w:rFonts w:ascii="Times New Roman" w:cs="Times New Roman" w:eastAsia="Times New Roman" w:hAnsi="Times New Roman"/>
          <w:sz w:val="18"/>
          <w:szCs w:val="18"/>
          <w:color w:val="auto"/>
        </w:rPr>
        <w:t>” means any term or condition that is not set forth in the Approval Letter imposed by the FDA on the Priority Review Voucher that (x) is not generally imposed on priority review vouchers under the FDCA, and (y) adversely impacts, in any material respect, the manner in which Buyer may use, receive, hold or otherwise exploit the Priority Review Voucher.</w:t>
      </w:r>
    </w:p>
    <w:p>
      <w:pPr>
        <w:spacing w:after="0" w:line="170" w:lineRule="exact"/>
        <w:rPr>
          <w:rFonts w:ascii="Times New Roman" w:cs="Times New Roman" w:eastAsia="Times New Roman" w:hAnsi="Times New Roman"/>
          <w:sz w:val="18"/>
          <w:szCs w:val="18"/>
          <w:color w:val="auto"/>
        </w:rPr>
      </w:pPr>
    </w:p>
    <w:p>
      <w:pPr>
        <w:ind w:left="-642" w:firstLine="642"/>
        <w:spacing w:after="0" w:line="278" w:lineRule="auto"/>
        <w:tabs>
          <w:tab w:leader="none" w:pos="4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means, with respect to a particular Person, any director, officer, manager, employee, agent, consultant, advisor, accountant, financial advisor, legal counsel or other representative of that Person.</w:t>
      </w:r>
    </w:p>
    <w:p>
      <w:pPr>
        <w:spacing w:after="0" w:line="156" w:lineRule="exact"/>
        <w:rPr>
          <w:rFonts w:ascii="Times New Roman" w:cs="Times New Roman" w:eastAsia="Times New Roman" w:hAnsi="Times New Roman"/>
          <w:sz w:val="18"/>
          <w:szCs w:val="18"/>
          <w:color w:val="auto"/>
        </w:rPr>
      </w:pPr>
    </w:p>
    <w:p>
      <w:pPr>
        <w:ind w:left="458" w:hanging="458"/>
        <w:spacing w:after="0"/>
        <w:tabs>
          <w:tab w:leader="none" w:pos="4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Notice of Transfer Submission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3.5(e)</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2" w:firstLine="642"/>
        <w:spacing w:after="0" w:line="220" w:lineRule="exact"/>
        <w:tabs>
          <w:tab w:leader="none" w:pos="5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NDA</w:t>
      </w:r>
      <w:r>
        <w:rPr>
          <w:rFonts w:ascii="Times New Roman" w:cs="Times New Roman" w:eastAsia="Times New Roman" w:hAnsi="Times New Roman"/>
          <w:sz w:val="18"/>
          <w:szCs w:val="18"/>
          <w:color w:val="auto"/>
        </w:rPr>
        <w:t>” means NDA Number 214927, approved by the FDA on September 20, 2024, for MIPLYFFA (arimoclomol) for use in combination with miglustat for the treatment of neurological manifestations of Niemann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Pick disease type C in adults and pediatric patients two (2) years of age and older.</w:t>
      </w:r>
    </w:p>
    <w:p>
      <w:pPr>
        <w:spacing w:after="0" w:line="190" w:lineRule="exact"/>
        <w:rPr>
          <w:rFonts w:ascii="Times New Roman" w:cs="Times New Roman" w:eastAsia="Times New Roman" w:hAnsi="Times New Roman"/>
          <w:sz w:val="18"/>
          <w:szCs w:val="18"/>
          <w:color w:val="auto"/>
        </w:rPr>
      </w:pPr>
    </w:p>
    <w:p>
      <w:pPr>
        <w:ind w:left="458" w:hanging="458"/>
        <w:spacing w:after="0"/>
        <w:tabs>
          <w:tab w:leader="none" w:pos="4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PRV Use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42" w:firstLine="642"/>
        <w:spacing w:after="0" w:line="224" w:lineRule="exact"/>
        <w:tabs>
          <w:tab w:leader="none" w:pos="4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and all domestic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federal, state, provincial, local, municipal and other taxes, fees, levies, duties, tariffs, imposts and like assessments or charges of whatever kind, including taxes or charges on, or measured by or with respect to, gross or net income, gain, gross receipts, capital, franchise, windfall and other profits, sales, use, real or personal property, payroll, as well as any value added, ad valorem, transfer, license, withholding, employment, unemployment, excise, severance, stamp, occupation, municipal, municipal surcharge, environmental, social security, escheat, unclaimed property and other tax, together with any interest or any penalty thereon and addition thereto, whether disputed or not.</w:t>
      </w:r>
    </w:p>
    <w:p>
      <w:pPr>
        <w:sectPr>
          <w:pgSz w:w="11900" w:h="16838" w:orient="portrait"/>
          <w:cols w:equalWidth="0" w:num="1">
            <w:col w:w="10598"/>
          </w:cols>
          <w:pgMar w:left="962" w:top="568" w:right="339" w:bottom="0" w:gutter="0" w:footer="0" w:header="0"/>
        </w:sectPr>
      </w:pPr>
    </w:p>
    <w:bookmarkStart w:id="47" w:name="page48"/>
    <w:bookmarkEnd w:id="47"/>
    <w:p>
      <w:pPr>
        <w:jc w:val="both"/>
        <w:spacing w:after="0" w:line="224" w:lineRule="exact"/>
        <w:tabs>
          <w:tab w:leader="none" w:pos="46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ind w:firstLine="642"/>
        <w:spacing w:after="0" w:line="278" w:lineRule="auto"/>
        <w:tabs>
          <w:tab w:leader="none" w:pos="11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Authority</w:t>
      </w:r>
      <w:r>
        <w:rPr>
          <w:rFonts w:ascii="Times New Roman" w:cs="Times New Roman" w:eastAsia="Times New Roman" w:hAnsi="Times New Roman"/>
          <w:sz w:val="18"/>
          <w:szCs w:val="18"/>
          <w:color w:val="auto"/>
        </w:rPr>
        <w:t>” means, with respect to any Tax, the Governmental Entity having jurisdiction over the assessment, determination, collection or imposition of such Tax.</w:t>
      </w:r>
    </w:p>
    <w:p>
      <w:pPr>
        <w:spacing w:after="0" w:line="156" w:lineRule="exact"/>
        <w:rPr>
          <w:rFonts w:ascii="Times New Roman" w:cs="Times New Roman" w:eastAsia="Times New Roman" w:hAnsi="Times New Roman"/>
          <w:sz w:val="18"/>
          <w:szCs w:val="18"/>
          <w:color w:val="auto"/>
        </w:rPr>
      </w:pPr>
    </w:p>
    <w:p>
      <w:pPr>
        <w:ind w:left="1120" w:hanging="47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a Party and such Party’s Affiliates.</w:t>
      </w:r>
    </w:p>
    <w:p>
      <w:pPr>
        <w:spacing w:after="0" w:line="221"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Other capitalized terms defined elsewhere in this Agreement and not defined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have the meanings assigned to such terms in this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19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Purchase and Sale; No Assumed Liabilities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42"/>
        <w:spacing w:after="0" w:line="259" w:lineRule="auto"/>
        <w:tabs>
          <w:tab w:leader="none" w:pos="10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Buyer agrees to purchase from Seller, and Seller agrees to sell, transfer, convey, assign and deliver to Buyer, at the Closing all of Seller’s right, title and interest in, to and under the Purchased Assets, in each case free and clear of all Encumbrances. Seller shall perform all actions necessary to facilitate the transfer of the Purchased Assets to Buyer.</w:t>
      </w:r>
    </w:p>
    <w:p>
      <w:pPr>
        <w:spacing w:after="0" w:line="177" w:lineRule="exact"/>
        <w:rPr>
          <w:rFonts w:ascii="Times New Roman" w:cs="Times New Roman" w:eastAsia="Times New Roman" w:hAnsi="Times New Roman"/>
          <w:sz w:val="18"/>
          <w:szCs w:val="18"/>
          <w:color w:val="auto"/>
        </w:rPr>
      </w:pPr>
    </w:p>
    <w:p>
      <w:pPr>
        <w:jc w:val="both"/>
        <w:ind w:firstLine="642"/>
        <w:spacing w:after="0" w:line="252" w:lineRule="auto"/>
        <w:tabs>
          <w:tab w:leader="none" w:pos="10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the sale, assignment, transfer and conveyance of the Purchased Assets from Seller to Buyer shall not include the transfer, conveyance or assumption of any Liabilities from Seller to Buyer, and (ii) Buyer shall not assume or be liable for any Liabilities of Seller or its Affiliates (fixed, contingent or otherwise, and whether or not accrued), including Liabilities relating to the Purchased Assets (other than such obligations as are imposed generally by applicable Legal Requirements solely on the holder of the Priority Review Voucher in respect of its use or transfer following the sale thereof pursuant to this Agreement, including, without limitation, the Priority Review Fee) (such Liabilities, “</w:t>
      </w:r>
      <w:r>
        <w:rPr>
          <w:rFonts w:ascii="Times New Roman" w:cs="Times New Roman" w:eastAsia="Times New Roman" w:hAnsi="Times New Roman"/>
          <w:sz w:val="18"/>
          <w:szCs w:val="18"/>
          <w:b w:val="1"/>
          <w:bCs w:val="1"/>
          <w:i w:val="1"/>
          <w:iCs w:val="1"/>
          <w:color w:val="auto"/>
        </w:rPr>
        <w:t>Excluded Liabilities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36"/>
        <w:spacing w:after="0" w:line="27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total consideration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to be paid by Buyer to Seller for all of the Purchased Assets shall be One Hundred and Fifty Million Dollars (U.S. $150,000,000) due and payable upon the Closing Date.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Purchase Price to Seller shall be made in cash by wire transfer of immediately available funds to a bank account specified by Seller in writing to Buyer in the form of Valid Account Details no later than five (5) Business Days prior to the Closing Date. “</w:t>
      </w:r>
      <w:r>
        <w:rPr>
          <w:rFonts w:ascii="Times New Roman" w:cs="Times New Roman" w:eastAsia="Times New Roman" w:hAnsi="Times New Roman"/>
          <w:sz w:val="18"/>
          <w:szCs w:val="18"/>
          <w:b w:val="1"/>
          <w:bCs w:val="1"/>
          <w:i w:val="1"/>
          <w:iCs w:val="1"/>
          <w:color w:val="auto"/>
        </w:rPr>
        <w:t>Valid Account Details</w:t>
      </w:r>
      <w:r>
        <w:rPr>
          <w:rFonts w:ascii="Times New Roman" w:cs="Times New Roman" w:eastAsia="Times New Roman" w:hAnsi="Times New Roman"/>
          <w:sz w:val="18"/>
          <w:szCs w:val="18"/>
          <w:color w:val="auto"/>
        </w:rPr>
        <w:t>” means, with respect to any bank account, the valid (a) name of bank, (b) bank’s address, (c) account number, (d) account name and (e) ABA/Routing number.</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Buyer shall be entitled to deduct and withhold from the Purchase Price otherwise payable pursuant to this Agreement to Seller any amount required to be deducted or withheld therefrom on account of Taxes under applicable Legal Requirements relating to Taxes. Except where such deduction or withholding is a result of Seller’s failure to deliver to Buyer the certification set forth in Section 3.02(i), before making any such deduction or withholding, (i) Buyer shall provide to Seller ten (10) days’ notice of Buyer’s intention to make such deduction and withholding, and (ii) Buyer shall cooperate with Seller to the extent reasonable in efforts by Seller to obtain any available reduction of or relief from such deduction or withholding to the extent permitted by applicable Legal Requirements. Buyer shall remit to the appropriate Tax Authority any and all amounts so deducted or withheld in accordance with the applicable Legal Requirements.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9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consummation of the Asset Purchase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be conducted telephonically or via email, facsimile transfer or other similar means of correspondence on such date to be mutually agreed upon by Buyer and Seller, which date shall be no later than the next succeeding Business Day after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(other than those conditions which, by their terms, are intended to be satisfied at the Closing, but subject to satisfaction or waiver of such conditions). The date on which the Closing actually takes place is referred to in this Agreement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Transactions to be Effected at Closing</w:t>
      </w:r>
      <w:r>
        <w:rPr>
          <w:rFonts w:ascii="Times New Roman" w:cs="Times New Roman" w:eastAsia="Times New Roman" w:hAnsi="Times New Roman"/>
          <w:sz w:val="17"/>
          <w:szCs w:val="17"/>
          <w:color w:val="auto"/>
        </w:rPr>
        <w:t>. At the Closing,</w:t>
      </w:r>
    </w:p>
    <w:p>
      <w:pPr>
        <w:spacing w:after="0" w:line="217" w:lineRule="exact"/>
        <w:rPr>
          <w:sz w:val="20"/>
          <w:szCs w:val="20"/>
          <w:color w:val="auto"/>
        </w:rPr>
      </w:pPr>
    </w:p>
    <w:p>
      <w:pPr>
        <w:ind w:left="1020" w:hanging="37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deliver, or cause to be delivered, to Buyer an executed Bill of Sale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firstLine="642"/>
        <w:spacing w:after="0" w:line="274" w:lineRule="auto"/>
        <w:tabs>
          <w:tab w:leader="none" w:pos="10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deliver, or cause to be delivered, to Buyer an executed certificate from a duly authorized officer of the Seller certifying as to the matters set forth in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0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deliver, or cause to be delivered, to Seller an executed certificate from a duly authorized officer of the Buyer certifying as to the matters set forth in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jc w:val="both"/>
        <w:ind w:firstLine="642"/>
        <w:spacing w:after="0" w:line="251" w:lineRule="auto"/>
        <w:tabs>
          <w:tab w:leader="none" w:pos="11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or cause to be delivered, to Buyer an executed certificate of the secretary or an assistant secretary (or equivalent duly authorized officer or other representative) of Seller certifying (i) that attached thereto are true and complete copies of all resolutions adopted by the board of directors of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 and (ii) as to the incumbency of each person executing this Agreement and any other document delivered in connection herewith on behalf of Seller and that the signature of each such person on this Agreement and such other document is such person’s genuine signature;</w:t>
      </w:r>
    </w:p>
    <w:p>
      <w:pPr>
        <w:spacing w:after="0" w:line="185" w:lineRule="exact"/>
        <w:rPr>
          <w:rFonts w:ascii="Times New Roman" w:cs="Times New Roman" w:eastAsia="Times New Roman" w:hAnsi="Times New Roman"/>
          <w:sz w:val="18"/>
          <w:szCs w:val="18"/>
          <w:color w:val="auto"/>
        </w:rPr>
      </w:pPr>
    </w:p>
    <w:p>
      <w:pPr>
        <w:jc w:val="both"/>
        <w:ind w:firstLine="642"/>
        <w:spacing w:after="0" w:line="251"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one (1) Business Day following the Closing Date, Seller shall (on behalf of Buyer) submit, or cause to be submitted, to the FDA the separate notifications referred to in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3.02(h)</w:t>
      </w:r>
      <w:r>
        <w:rPr>
          <w:rFonts w:ascii="Times New Roman" w:cs="Times New Roman" w:eastAsia="Times New Roman" w:hAnsi="Times New Roman"/>
          <w:sz w:val="18"/>
          <w:szCs w:val="18"/>
          <w:color w:val="auto"/>
        </w:rPr>
        <w:t xml:space="preserve">, respectively, as a submission to the Subject NDA through the FDA’s Electronic Submissions Gateway under the cover letter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Seller shall provide to Buyer, within two (2) Business Days following their submission to the FDA, confirmation from the FDA of successful submission and a complete copy of such submission (the “</w:t>
      </w:r>
      <w:r>
        <w:rPr>
          <w:rFonts w:ascii="Times New Roman" w:cs="Times New Roman" w:eastAsia="Times New Roman" w:hAnsi="Times New Roman"/>
          <w:sz w:val="18"/>
          <w:szCs w:val="18"/>
          <w:b w:val="1"/>
          <w:bCs w:val="1"/>
          <w:i w:val="1"/>
          <w:iCs w:val="1"/>
          <w:color w:val="auto"/>
        </w:rPr>
        <w:t>Seller Notice of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Submission</w:t>
      </w:r>
      <w:r>
        <w:rPr>
          <w:rFonts w:ascii="Times New Roman" w:cs="Times New Roman" w:eastAsia="Times New Roman" w:hAnsi="Times New Roman"/>
          <w:sz w:val="18"/>
          <w:szCs w:val="18"/>
          <w:color w:val="auto"/>
        </w:rPr>
        <w:t>”). Buyer may also submit the duly executed letters provided to be delivered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3.02(h)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to the FDA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Seller’s notification to Buyer of its submission, and Buyer’s receipt from Seller, of a copy of the Seller Notice of Transfer Submission.</w:t>
      </w:r>
    </w:p>
    <w:p>
      <w:pPr>
        <w:spacing w:after="0" w:line="185" w:lineRule="exact"/>
        <w:rPr>
          <w:rFonts w:ascii="Times New Roman" w:cs="Times New Roman" w:eastAsia="Times New Roman" w:hAnsi="Times New Roman"/>
          <w:sz w:val="18"/>
          <w:szCs w:val="18"/>
          <w:color w:val="auto"/>
        </w:rPr>
      </w:pPr>
    </w:p>
    <w:p>
      <w:pPr>
        <w:ind w:firstLine="642"/>
        <w:spacing w:after="0" w:line="274" w:lineRule="auto"/>
        <w:tabs>
          <w:tab w:leader="none" w:pos="10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pay the Purchase Price to Seller by wire transfer of immediately available funds to an account or accounts designated in writing by Seller to Buyer in the form of Valid Account Details, such designation to occur at least five (5) Business Days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-851535</wp:posOffset>
            </wp:positionV>
            <wp:extent cx="36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ectPr>
          <w:pgSz w:w="11900" w:h="16838" w:orient="portrait"/>
          <w:cols w:equalWidth="0" w:num="1">
            <w:col w:w="11240"/>
          </w:cols>
          <w:pgMar w:left="320" w:top="568" w:right="339" w:bottom="0"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ind w:firstLine="642"/>
        <w:spacing w:after="0" w:line="274" w:lineRule="auto"/>
        <w:tabs>
          <w:tab w:leader="none" w:pos="10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deliver to Buyer a letter addressed to Buyer, substantially in the form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duly executed by Seller, acknowledging the transfer of the Priority Review Voucher from Seller to Buyer, in accordance with this Agreement;</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0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deliver to Seller a letter addressed to Seller, substantially in the form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and duly executed by Buyer, acknowledging the transfer of the Priority Review Voucher from Seller to Buyer, in accordance with this Agreement; and</w:t>
      </w:r>
    </w:p>
    <w:p>
      <w:pPr>
        <w:spacing w:after="0" w:line="124" w:lineRule="exact"/>
        <w:rPr>
          <w:rFonts w:ascii="Times New Roman" w:cs="Times New Roman" w:eastAsia="Times New Roman" w:hAnsi="Times New Roman"/>
          <w:sz w:val="18"/>
          <w:szCs w:val="18"/>
          <w:color w:val="auto"/>
        </w:rPr>
      </w:pPr>
    </w:p>
    <w:p>
      <w:pPr>
        <w:ind w:firstLine="642"/>
        <w:spacing w:after="0" w:line="241" w:lineRule="exact"/>
        <w:tabs>
          <w:tab w:leader="none" w:pos="9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a properly completed, validly executed, true and correct Internal Revenue Service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 certifying that Seller is not subject to backup withholding for United States federal income tax purposes.</w:t>
      </w:r>
    </w:p>
    <w:p>
      <w:pPr>
        <w:spacing w:after="0" w:line="193"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u w:val="single" w:color="auto"/>
          <w:color w:val="auto"/>
        </w:rPr>
        <w:t>Title Passage</w:t>
      </w:r>
      <w:r>
        <w:rPr>
          <w:rFonts w:ascii="Times New Roman" w:cs="Times New Roman" w:eastAsia="Times New Roman" w:hAnsi="Times New Roman"/>
          <w:sz w:val="17"/>
          <w:szCs w:val="17"/>
          <w:color w:val="auto"/>
        </w:rPr>
        <w:t>. Upon the Closing, all of the right, title and interest of Seller in and to the Purchased Assets shall pass to Buyer.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Seller represents and warrants to Buyer, as of the Effective Date and the Closing Date, as follows: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Seller is a corporation duly organized and validly existing under the laws of Delaware. Seller has the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any of the Purchased Assets or Seller’s ability to consummate the transactions contemplated by this Agreement. Seller is not in violation of its certificate of incorporation or bylaws.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Seller has the requisite corporate power and authority to enter into, deliver and perform its obligations under, and consummate the transactions contemplated by, this Agreement. The execution, delivery and performance of this Agreement, and the consummation of the Asset Purchase, have been duly and validly approved and authorized by all necessary corporate action on the part of Seller, and this Agreement has been duly executed and delivered by Seller. This Agreement, upon execution by the Parties, will constitute a valid and binding obligation of Seller enforceable against Seller in accordance with its terms, subject only to the effect, if any, of (a) applicable bankruptcy and other similar laws affecting the rights of creditors generally and (b) rules of law governing specific performance, injunctive relief and other equitable remedies. The approval of Seller’s stockholders is not required for the execution, delivery and performance of this Agreement, and the consummation of the Asset Purchase.</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by Seller of this Agreement does not, and the consummation of the transactions contemplated hereby, including the transfer of title to, ownership in, and possession of the Purchased Assets, will not, (a) result in the creation of any Encumbrance on any of the Purchased Assets or (b) conflict with, or result in any violation of or default under (with or without notice or lapse of time, or both), or give rise to a right of termination, revocation, cancellation or acceleration of any obligation or loss of any benefit under, or require any consent, approval or waiver from any Person pursuant to, (i) any provision of the certificate of incorporation or bylaws of Seller, (ii) any Contract to which Seller is a party or by which it is bound which involves or affects in any way any of the Purchased Assets or (iii) except as may be required to comply with the HSR Act, any Legal Requirements applicable to Seller or any of the Purchased Assets (except, in the case of clauses (ii) and (iii) above, as would not, individually or in the aggregate, have an adverse effect on the ability of Seller to consummate the sale of the Purchased Assets at Closing and perform its other obligations under this Agreement or Buyer’s ownership and rights with respect to any of the Purchased Assets after the Closing).</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xml:space="preserve">. Except for the letters referenced in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color w:val="auto"/>
        </w:rPr>
        <w:t xml:space="preserve"> and the filing of any Premerger Notification and Report Form required under the HSR Act, no filing, authorization, consent, approval, permit, order, registration or declaration, governmental or otherwise, is necessary to enable or authorize Seller to enter into, and to perform its obligations under, this Agreement.</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Title to Purchased Assets</w:t>
      </w:r>
      <w:r>
        <w:rPr>
          <w:rFonts w:ascii="Times New Roman" w:cs="Times New Roman" w:eastAsia="Times New Roman" w:hAnsi="Times New Roman"/>
          <w:sz w:val="18"/>
          <w:szCs w:val="18"/>
          <w:color w:val="auto"/>
        </w:rPr>
        <w:t xml:space="preserve">. Seller is the sole and exclusive owner of the Purchased Assets and owns and at the Closing will transfer to Buyer good and transferable title to the Purchased Assets free and clear of any Encumbrances. Seller has performed all actions necessary to perfect its ownership of, and its ability to transfer, the Purchased Assets pursuant to this Agreement. Neither Seller nor any of its Affiliates has sold, transferred, conveyed, assigned, or delivered any Purchased Assets (except that Zevra DN transferred to Seller all of its right, title and interest in and to the Purchased Assets as evidenced by the Bill of Sale between Zevra DN and Seller, dated as of November 10, 2024, as further described in </w:t>
      </w:r>
      <w:r>
        <w:rPr>
          <w:rFonts w:ascii="Times New Roman" w:cs="Times New Roman" w:eastAsia="Times New Roman" w:hAnsi="Times New Roman"/>
          <w:sz w:val="18"/>
          <w:szCs w:val="18"/>
          <w:u w:val="single" w:color="auto"/>
          <w:color w:val="auto"/>
        </w:rPr>
        <w:t>Schedule 4.05</w:t>
      </w:r>
      <w:r>
        <w:rPr>
          <w:rFonts w:ascii="Times New Roman" w:cs="Times New Roman" w:eastAsia="Times New Roman" w:hAnsi="Times New Roman"/>
          <w:sz w:val="18"/>
          <w:szCs w:val="18"/>
          <w:color w:val="auto"/>
        </w:rPr>
        <w:t>), or offered to do so, to any Person, and Seller has the full and sole right to sell, transfer, convey, assign, and deliver the Purchased Assets to Buyer free and clear of all Encumbrances and, at the Closing, will sell, transfer, convey, assign and deliver to Buyer good and transferable title to the Purchased Assets free and clear of any Encumbrances.</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for this Agreement, there is no Contract to which Seller or any Affiliate of Seller is a party that involves or affects the ownership of, licensing of, title to, or use of any of the Purchased Assets.</w:t>
      </w:r>
    </w:p>
    <w:p>
      <w:pPr>
        <w:spacing w:after="0" w:line="163"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Compliance With Legal Requirements</w:t>
      </w:r>
      <w:r>
        <w:rPr>
          <w:rFonts w:ascii="Times New Roman" w:cs="Times New Roman" w:eastAsia="Times New Roman" w:hAnsi="Times New Roman"/>
          <w:sz w:val="17"/>
          <w:szCs w:val="17"/>
          <w:color w:val="auto"/>
        </w:rPr>
        <w:t>. Seller and its Affiliates are, and at all times have been, in compliance in all material respects with each Legal Requirement that is or was applicable to (a) Seller’s and its Affiliates’ conduct, acts, or omissions with respect to any of the Purchased Assets or (b) any of the Purchased Assets. Seller and its Affiliates have not received any written notice or other written communication from any Person regarding any actual, alleged, possible or potential material violation of, or failure to comply with, any such Legal Requirement. Since the three (3) year period prior to the Closing Date and as it relates to the FDA approval of the Subject NDA, the Approval Letter, the Priority Review Voucher or the activities giving rise to such FDA approval of the Subject NDA, the Approval Letter or the Priority Review Voucher, neither Seller, any Affiliate of Seller, nor to the Knowledge of Seller, any Representative of Seller or any Affiliate of Seller, has made an untrue statement of material fact or a fraudulent statement to the FDA or any other Governmental Entity, failed to disclose a material fact or a fraudulent statement to the FDA or any other Governmental Entity or committed an act, made a statement or failed to make a statement that, at the time such disclosure was made, would reasonably be expected to provide a basis for the FDA to invoke its policy respecting “Fraud, Untrue Statements of Material Facts, Bribery, and Illegal Gratuities,” set forth in 56 Fed. Reg. 46191 (September 10, 1991) or for any other Governmental Entity to invoke any similar policy and which could reasonably be expected to result in a revocation of the Priority Review Voucher.</w:t>
      </w:r>
    </w:p>
    <w:p>
      <w:pPr>
        <w:spacing w:after="0" w:line="17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u w:val="single" w:color="auto"/>
          <w:color w:val="auto"/>
        </w:rPr>
        <w:t>Legal Proceedings</w:t>
      </w:r>
      <w:r>
        <w:rPr>
          <w:rFonts w:ascii="Times New Roman" w:cs="Times New Roman" w:eastAsia="Times New Roman" w:hAnsi="Times New Roman"/>
          <w:sz w:val="17"/>
          <w:szCs w:val="17"/>
          <w:color w:val="auto"/>
        </w:rPr>
        <w:t>. There is no pending, or to Seller’s Knowledge, threatened Proceeding involving Seller or any of its Affiliates, nor has there been any Proceeding involving Seller or any of its Affiliates, and neither Seller nor any of its Affiliates are a party or subject to the provisions of any Order, in each case, (a) that involves or affects (or may involve or affect) the issuance of, continued validity of, ownership of, transfer or license of, title to, or use of any of the Purchased Assets (including any such Order that seeks to prohibit or limit in any respect, or place any conditions on, the ownership or use by Buyer or its Affiliates of any of the Purchased Assets, in each case, as a result of the transactions contemplated by this Agreement), or (b) that otherwise challenges or seeks to restrain, prohibit, prevent, enjoin, alter, or delay the consummation of the transactions contemplated by this Agreement.</w:t>
      </w:r>
    </w:p>
    <w:p>
      <w:pPr>
        <w:sectPr>
          <w:pgSz w:w="11900" w:h="16838" w:orient="portrait"/>
          <w:cols w:equalWidth="0" w:num="1">
            <w:col w:w="11240"/>
          </w:cols>
          <w:pgMar w:left="320" w:top="572" w:right="339" w:bottom="0" w:gutter="0" w:footer="0" w:header="0"/>
        </w:sectPr>
      </w:pPr>
    </w:p>
    <w:bookmarkStart w:id="51" w:name="page52"/>
    <w:bookmarkEnd w:id="51"/>
    <w:p>
      <w:pPr>
        <w:jc w:val="both"/>
        <w:spacing w:after="0" w:line="26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Seller is not required to hold any license, registration, or permit issued by any Governmental Entity to own, use or transfer the Purchased Assets, other than such licenses, registrations or permits that have already been obtained.</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Revocation; Regulatory Change</w:t>
      </w:r>
      <w:r>
        <w:rPr>
          <w:rFonts w:ascii="Times New Roman" w:cs="Times New Roman" w:eastAsia="Times New Roman" w:hAnsi="Times New Roman"/>
          <w:sz w:val="18"/>
          <w:szCs w:val="18"/>
          <w:color w:val="auto"/>
        </w:rPr>
        <w:t>. The Priority Review Voucher has been duly granted and issued and has not been terminated, cancelled or revoked and, to the Seller’s Knowledge, there are no facts or circumstances that would reasonably be expected to give rise to a right of the FDA to revoke (or that would otherwise result in the revocation of) the Priority Review Voucher, or result in the redemption or transfer of the Priority Review Voucher (other than pursuant to the transactions contemplated by this Agreement), or that would reasonably be expected to preclude or interfere with the sale and transfer of the Purchased Assets to Buyer or Buyer’s use of the Purchased Assets following the Closing to obtain Priority Review (other than as set forth in any Legal Requirements in existence on the date hereof). To the Knowledge of Seller, there is no term or condition imposed by the FDA on the Priority Review Voucher that is not set forth in the Approval Letter or provided for under applicable Legal Requirements. From the date that the Priority Review Voucher was issued until the Effective Date, there has not occurred any Regulatory Change.</w:t>
      </w:r>
    </w:p>
    <w:p>
      <w:pPr>
        <w:spacing w:after="0" w:line="190" w:lineRule="exact"/>
        <w:rPr>
          <w:sz w:val="20"/>
          <w:szCs w:val="20"/>
          <w:color w:val="auto"/>
        </w:rPr>
      </w:pPr>
    </w:p>
    <w:p>
      <w:pPr>
        <w:jc w:val="both"/>
        <w:ind w:firstLine="636"/>
        <w:spacing w:after="0" w:line="217" w:lineRule="exact"/>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Marketed Product</w:t>
      </w:r>
      <w:r>
        <w:rPr>
          <w:rFonts w:ascii="Times New Roman" w:cs="Times New Roman" w:eastAsia="Times New Roman" w:hAnsi="Times New Roman"/>
          <w:sz w:val="18"/>
          <w:szCs w:val="18"/>
          <w:color w:val="auto"/>
        </w:rPr>
        <w:t>. Seller or any of its Affiliates has initiated or will initiate marketing in the United States of the product approved under the Subject NDA within the 365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beginning on the date of the FDA approval of the Subject NDA to the extent and in a manner required under applicable Legal Requirements so as to preclude the FDA from exercising its authority to revoke the Priority Review Voucher pursuant to 21 U.S.C.§ 360ff(e)(1).</w:t>
      </w:r>
    </w:p>
    <w:p>
      <w:pPr>
        <w:spacing w:after="0" w:line="19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Document Disclosure</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is a true, correct and complete list of all documents for which true, correct and complete copies have been made available to Buyer as of the close of business on the last Business Day immediately preceding the Closing Date, which list includes any and all communications between Seller or its Affiliates (including Zevra DN), on the one hand, and the FDA, on the other hand, with respect to the Purchased Assets.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Intent to Use.</w:t>
      </w:r>
      <w:r>
        <w:rPr>
          <w:rFonts w:ascii="Times New Roman" w:cs="Times New Roman" w:eastAsia="Times New Roman" w:hAnsi="Times New Roman"/>
          <w:sz w:val="18"/>
          <w:szCs w:val="18"/>
          <w:color w:val="auto"/>
        </w:rPr>
        <w:t xml:space="preserve"> Neither Seller nor any of its Affiliates has filed or submitted, or Permitted any Third Party to file or submit, to the FDA a Notice of Intent to Use the Priority Review Voucher.</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Broker</w:t>
      </w:r>
      <w:r>
        <w:rPr>
          <w:rFonts w:ascii="Times New Roman" w:cs="Times New Roman" w:eastAsia="Times New Roman" w:hAnsi="Times New Roman"/>
          <w:sz w:val="18"/>
          <w:szCs w:val="18"/>
          <w:color w:val="auto"/>
        </w:rPr>
        <w:t>. Except for Cantor, the fees and expenses of which shall be paid by Seller, there is no investment banker, broker, finder or other intermediary which has been authorized to act on behalf of Seller who might be entitled to any fee or commission in connection with the transactions contemplated by this Agreement.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Seller and its Affiliates have timely paid all amounts of Tax required to be paid on or prior to the date hereof, if a failure to pay such Tax could reasonably be expected to result in a lien on any of the Purchased Assets. There are no liens on account of Taxes on the Purchased Assets and no material audits, controversies or claims by a Governmental Entity pending or threatened against Seller with respect to Taxes relating to the Purchased Assets.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Neither Seller nor any of its Representatives is making any representation or warranty of any kind or nature whatsoever, oral or written, express or implied, except as otherwise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Seller hereby disclaims any such other representations and warranties.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Buyer represents and warrants to Seller, as of the Effective Date and the Closing Date, as follows: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Buyer is a limited liability company duly organized and validly existing under the laws of Delaware. Buyer has the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Buyer’s ability to consummate the transactions contemplated by this Agreement. Buyer is not in violation of its certificate of incorporation or bylaws.</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Buyer has the requisite corporate power and authority to enter into and perform its obligations under this Agreement. The execution, delivery and performance of this Agreement, and the consummation of the Asset Purchase, have been duly and validly approved and authorized by all necessary corporate action on the part of Buyer, and this Agreement has been duly executed and delivered by Buyer. This Agreement, upon execution by the Parties, will constitute a valid and binding obligation of Buyer enforceable against Buyer in accordance with its terms, subject only to the effect, if any, of</w:t>
      </w:r>
    </w:p>
    <w:p>
      <w:pPr>
        <w:spacing w:after="0" w:line="1" w:lineRule="exact"/>
        <w:rPr>
          <w:sz w:val="20"/>
          <w:szCs w:val="20"/>
          <w:color w:val="auto"/>
        </w:rPr>
      </w:pPr>
    </w:p>
    <w:p>
      <w:pPr>
        <w:ind w:firstLine="6"/>
        <w:spacing w:after="0" w:line="251"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bankruptcy and other similar laws affecting the rights of creditors generally and (b) rules of law governing specific performance, injunctive relief and other equitable remedies.</w:t>
      </w:r>
    </w:p>
    <w:p>
      <w:pPr>
        <w:spacing w:after="0" w:line="18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by Buyer of this Agreement does not, and the consummation of the transactions contemplated hereby will not, conflict with, or result in any violation of or default under (with or without notice or lapse of time, or both), or give rise to a right of termination, revocation, suspension, cancellation or acceleration of any obligation or loss of any benefit under, or require any consent, approval or waiver from any Person pursuant to, (a) any provision of the certificate of incorporation or bylaws of Buyer, (b) any Contract to which Buyer is a party or by which it is bound which involves or affects in any way the Asset Purchase or (c) except as may be required to comply with the HSR Act, any Legal Requirements applicable to Buyer.</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Except for the letters referenced in Section 3.02 and the filing of any Premerger Notification and Report Form required under the HSR Act, no filing, authorization, consent, approval, permit, order, registration or declaration, governmental or otherwise, is necessary to enable or authorize Buyer to enter into, and to perform its obligations under, this Agreement.</w:t>
      </w:r>
    </w:p>
    <w:p>
      <w:pPr>
        <w:spacing w:after="0" w:line="17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Buyer has, and will at Closing have, sufficient funds to consummate the transactions contemplated by this Agreement.</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No Broker</w:t>
      </w:r>
      <w:r>
        <w:rPr>
          <w:rFonts w:ascii="Times New Roman" w:cs="Times New Roman" w:eastAsia="Times New Roman" w:hAnsi="Times New Roman"/>
          <w:sz w:val="18"/>
          <w:szCs w:val="18"/>
          <w:color w:val="auto"/>
        </w:rPr>
        <w:t>. Buyer has not engaged, retained or entered into an agreement with any investment banker, broker, finder or other intermediary who has been authorized to act on behalf of Buyer who would be entitled to any fee or commission payable by Seller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92" w:gutter="0" w:footer="0" w:header="0"/>
        </w:sectPr>
      </w:pPr>
    </w:p>
    <w:bookmarkStart w:id="53" w:name="page54"/>
    <w:bookmarkEnd w:id="53"/>
    <w:p>
      <w:pPr>
        <w:jc w:val="both"/>
        <w:ind w:firstLine="636"/>
        <w:spacing w:after="0" w:line="218" w:lineRule="exact"/>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Non</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xml:space="preserve">. Neither Seller nor any of its Affiliates nor any of their Representatives makes, or has made any representation or warranty, oral or written, express or implied, as to the accuracy or completeness of any information concerning the Purchased Assets contained herein or made available in connection with Buyer’s investigation of the foregoing, except as expressly set forth in this Agreement, and Seller, its Affiliates and their Representatives expressly disclaim any and all liability that may be based on such information or errors therein or omissions therefrom. Buyer has not relied and is not relying on any statement, representation or warranty, oral or written, express or implied (including any representation or warranty as to merchantability or fitness for a particular purpose), made by Seller, any of its Affiliates or any of their Representatives, except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Neither Seller nor its Affiliates nor any of their Representatives shall have or be subject to any liability to Buyer or any other Person resulting from the distribution to Buyer, or Buyer’s use of, any information, documents or materials made available to Buyer, whether orally or in writing, in any presentations, due diligence discussions or in any other form in expectation of, or in connection with, the Asset Purchase, other than as expressly set forth in this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9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Conditions Precedent of Buyer and Seller</w:t>
      </w:r>
      <w:r>
        <w:rPr>
          <w:rFonts w:ascii="Times New Roman" w:cs="Times New Roman" w:eastAsia="Times New Roman" w:hAnsi="Times New Roman"/>
          <w:sz w:val="18"/>
          <w:szCs w:val="18"/>
          <w:color w:val="auto"/>
        </w:rPr>
        <w:t>. Each Party’s obligations to consummate the transactions contemplated by this Agreement are subject to the satisfaction or waiver, at or prior to the Closing Date, of each of the following conditions precedent:</w:t>
      </w:r>
    </w:p>
    <w:p>
      <w:pPr>
        <w:spacing w:after="0" w:line="163" w:lineRule="exact"/>
        <w:rPr>
          <w:sz w:val="20"/>
          <w:szCs w:val="20"/>
          <w:color w:val="auto"/>
        </w:rPr>
      </w:pPr>
    </w:p>
    <w:p>
      <w:pPr>
        <w:ind w:firstLine="642"/>
        <w:spacing w:after="0" w:line="274" w:lineRule="auto"/>
        <w:tabs>
          <w:tab w:leader="none" w:pos="10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The applicable waiting period under the HSR Act relating to the transactions contemplated by this Agreement shall have expired or been terminated.</w:t>
      </w:r>
    </w:p>
    <w:p>
      <w:pPr>
        <w:spacing w:after="0" w:line="163" w:lineRule="exact"/>
        <w:rPr>
          <w:rFonts w:ascii="Times New Roman" w:cs="Times New Roman" w:eastAsia="Times New Roman" w:hAnsi="Times New Roman"/>
          <w:sz w:val="18"/>
          <w:szCs w:val="18"/>
          <w:color w:val="auto"/>
        </w:rPr>
      </w:pPr>
    </w:p>
    <w:p>
      <w:pPr>
        <w:jc w:val="both"/>
        <w:ind w:firstLine="642"/>
        <w:spacing w:after="0" w:line="259" w:lineRule="auto"/>
        <w:tabs>
          <w:tab w:leader="none" w:pos="11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temporary restraining order, preliminary or permanent injunction or other material Order issued or promulgated by a Governmental Entity preventing the consummation of the transactions contemplated by this Agreement shall be in effect, and there shall not be any applicable Legal Requirement that makes consummation of the transactions contemplated by this Agreement illegal.</w:t>
      </w:r>
    </w:p>
    <w:p>
      <w:pPr>
        <w:spacing w:after="0" w:line="177" w:lineRule="exact"/>
        <w:rPr>
          <w:rFonts w:ascii="Times New Roman" w:cs="Times New Roman" w:eastAsia="Times New Roman" w:hAnsi="Times New Roman"/>
          <w:sz w:val="18"/>
          <w:szCs w:val="18"/>
          <w:color w:val="auto"/>
        </w:rPr>
      </w:pPr>
    </w:p>
    <w:p>
      <w:pPr>
        <w:ind w:firstLine="642"/>
        <w:spacing w:after="0" w:line="274" w:lineRule="auto"/>
        <w:tabs>
          <w:tab w:leader="none" w:pos="10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Litigation</w:t>
      </w:r>
      <w:r>
        <w:rPr>
          <w:rFonts w:ascii="Times New Roman" w:cs="Times New Roman" w:eastAsia="Times New Roman" w:hAnsi="Times New Roman"/>
          <w:sz w:val="18"/>
          <w:szCs w:val="18"/>
          <w:color w:val="auto"/>
        </w:rPr>
        <w:t>. There shall not be any Proceeding commenced or pending by a Governmental Entity seeking to prohibit, limit, delay, or otherwise restrain the consummation of this Agreement and/or the transactions contemplated hereby.</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Buyer’s Conditions Precedent</w:t>
      </w:r>
      <w:r>
        <w:rPr>
          <w:rFonts w:ascii="Times New Roman" w:cs="Times New Roman" w:eastAsia="Times New Roman" w:hAnsi="Times New Roman"/>
          <w:sz w:val="18"/>
          <w:szCs w:val="18"/>
          <w:color w:val="auto"/>
        </w:rPr>
        <w:t>. The obligations of Buyer to consummate the transactions contemplated by this Agreement are subject to the satisfaction or waiver, at or prior to the Closing Date, of each of the following conditions precedent:</w:t>
      </w:r>
    </w:p>
    <w:p>
      <w:pPr>
        <w:spacing w:after="0" w:line="163" w:lineRule="exact"/>
        <w:rPr>
          <w:sz w:val="20"/>
          <w:szCs w:val="20"/>
          <w:color w:val="auto"/>
        </w:rPr>
      </w:pPr>
    </w:p>
    <w:p>
      <w:pPr>
        <w:jc w:val="both"/>
        <w:ind w:firstLine="642"/>
        <w:spacing w:after="0" w:line="252" w:lineRule="auto"/>
        <w:tabs>
          <w:tab w:leader="none" w:pos="11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Each of the representations and warranties made by Seller in this Agreement (other than the Fundamental Representations) shall be true and correct (without giving effect to any limitation or qualification as to “materiality” (including the word “material”) or “material adverse effect” set forth therein) in all material respects at and as of the Effective Date and as of the Closing Date (or, if made as of a specified period or date, as of such period or date). Each of the Fundamental Representations shall be true and correct in all respects at and as of the Effective Date and as of the Closing Date (or, in each case, if made as of a specified period or date, as of such period or date).</w:t>
      </w:r>
    </w:p>
    <w:p>
      <w:pPr>
        <w:spacing w:after="0" w:line="185" w:lineRule="exact"/>
        <w:rPr>
          <w:rFonts w:ascii="Times New Roman" w:cs="Times New Roman" w:eastAsia="Times New Roman" w:hAnsi="Times New Roman"/>
          <w:sz w:val="18"/>
          <w:szCs w:val="18"/>
          <w:color w:val="auto"/>
        </w:rPr>
      </w:pPr>
    </w:p>
    <w:p>
      <w:pPr>
        <w:ind w:firstLine="642"/>
        <w:spacing w:after="0" w:line="274" w:lineRule="auto"/>
        <w:tabs>
          <w:tab w:leader="none" w:pos="10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All of the covenants and obligations that Seller is required to comply with or to perform hereunder at or prior to the Closing Date shall have been complied with and performed in all material respects.</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0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Seller shall have delivered to Buyer a certificate, dated the Closing Date and duly executed by Seller, certifying that the conditions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have been satisfied.</w:t>
      </w:r>
    </w:p>
    <w:p>
      <w:pPr>
        <w:spacing w:after="0" w:line="163"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Regulatory Change</w:t>
      </w:r>
      <w:r>
        <w:rPr>
          <w:rFonts w:ascii="Times New Roman" w:cs="Times New Roman" w:eastAsia="Times New Roman" w:hAnsi="Times New Roman"/>
          <w:sz w:val="18"/>
          <w:szCs w:val="18"/>
          <w:color w:val="auto"/>
        </w:rPr>
        <w:t>. Since the Effective Date there shall not have occurred and remain in effect any Regulatory Change.</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Seller’s Conditions Precedent</w:t>
      </w:r>
      <w:r>
        <w:rPr>
          <w:rFonts w:ascii="Times New Roman" w:cs="Times New Roman" w:eastAsia="Times New Roman" w:hAnsi="Times New Roman"/>
          <w:sz w:val="18"/>
          <w:szCs w:val="18"/>
          <w:color w:val="auto"/>
        </w:rPr>
        <w:t>. The obligations of Seller to consummate the transactions contemplated by this Agreement are subject to the satisfaction or waiver, at or prior to the Closing Date, of each of the following conditions precedent:</w:t>
      </w:r>
    </w:p>
    <w:p>
      <w:pPr>
        <w:spacing w:after="0" w:line="163" w:lineRule="exact"/>
        <w:rPr>
          <w:sz w:val="20"/>
          <w:szCs w:val="20"/>
          <w:color w:val="auto"/>
        </w:rPr>
      </w:pPr>
    </w:p>
    <w:p>
      <w:pPr>
        <w:jc w:val="both"/>
        <w:ind w:firstLine="642"/>
        <w:spacing w:after="0" w:line="252" w:lineRule="auto"/>
        <w:tabs>
          <w:tab w:leader="none" w:pos="10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Each of the representations and warranties made by Buyer in this Agreement shall be true and correct in all material respects at and as of the Closing Date (or, if made as of a specified period or date, as of such period or date), except to the extent that such representations and warranties are qualified by the term “material”, or words of similar import, in which case such representations and warranties (as so written, including the terms “material”, or words of similar import) shall be true and correct in all respects at and as of the Closing Date (or, if made as of a specified period or date, as of such period or date).</w:t>
      </w:r>
    </w:p>
    <w:p>
      <w:pPr>
        <w:spacing w:after="0" w:line="185" w:lineRule="exact"/>
        <w:rPr>
          <w:rFonts w:ascii="Times New Roman" w:cs="Times New Roman" w:eastAsia="Times New Roman" w:hAnsi="Times New Roman"/>
          <w:sz w:val="18"/>
          <w:szCs w:val="18"/>
          <w:color w:val="auto"/>
        </w:rPr>
      </w:pPr>
    </w:p>
    <w:p>
      <w:pPr>
        <w:ind w:firstLine="642"/>
        <w:spacing w:after="0" w:line="274" w:lineRule="auto"/>
        <w:tabs>
          <w:tab w:leader="none" w:pos="1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All of the covenants and obligations that Buyer is required to comply with or to perform hereunder at or prior to the Closing Date shall have been complied with and performed in all material respects.</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0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Buyer shall have delivered to Seller a certificate, dated the Closing Date and duly executed by Buyer, certifying that the conditions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have been satisfied.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CLOSING COVENANTS AND AGREEMENTS</w:t>
      </w:r>
    </w:p>
    <w:p>
      <w:pPr>
        <w:spacing w:after="0" w:line="204"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Antitrust Notification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42"/>
        <w:spacing w:after="0" w:line="249" w:lineRule="auto"/>
        <w:tabs>
          <w:tab w:leader="none" w:pos="10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commercially reasonable efforts to take, or cause to be taken, all actions and to do, or cause to be done, all things necessary or desirable under applicable Legal Requirements to consummate the transactions contemplated by this Agreement. Without limiting the foregoing, Seller and Buyer shall file, or shall cause their ultimate parent entities as defined in the HSR Act to file, as soon as practicable (but not later than five (5) Business Days) after the Effective Date, any notifications required under the HSR Act, and shall respond as promptly as practicable to all inquiries or requests received from the Federal Trade Commission, the Antitrust Division of the U.S. Department of Justice or any other Governmental Entity for additional information or documentation. In connection therewith, the Parties shall, or shall cause their respective Affiliates to, (i) furnish to the other Party such necessary information and reasonable assistance as the other Party may reasonably request in connection with its preparation of any filing or submission that is necessary under the HSR Act, and (ii) keep the other Party reasonably apprised of the status of any communications with, and any inquiries or requests for additional information from the applicable Governmental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33" w:right="339" w:bottom="201" w:gutter="0" w:footer="0" w:header="0"/>
        </w:sectPr>
      </w:pPr>
    </w:p>
    <w:bookmarkStart w:id="54" w:name="page55"/>
    <w:bookmarkEnd w:id="54"/>
    <w:p>
      <w:pPr>
        <w:jc w:val="both"/>
        <w:ind w:firstLine="642"/>
        <w:spacing w:after="0" w:line="247" w:lineRule="auto"/>
        <w:tabs>
          <w:tab w:leader="none" w:pos="11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confidentiality restrictions or restrictions required by applicable Legal Requirements, each Party will notify the other promptly upon the receipt of (a) any comments or questions from any Governmental Entity in connection with any filings made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the transactions contemplated by this Agreement and (b) any request by any Governmental Entity for information or documents relating to an investigation of the transactions contemplated by this Agreement. Without limiting the generality of the foregoing, each Party shall provide to the other (or the other’s respective advisors) upon request copies of all correspondence between such Party and any Governmental Entity relating to the transactions contemplated by this Agreement. The Parties may, as they deem advisable and necessary, designate any competitively sensitive materials provided to the other under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In addition, to the extent reasonably practicable, all discussions, telephone calls, and meetings with a Governmental Entity regarding the transactions contemplated by this Agreement shall include representatives of both Parties to the extent permitted by such Governmental Entity. Subject to applicable Legal Requirements, the Parties will consult and cooperate with each other in connection with any analyses, appearances, presentations, memoranda, briefs, arguments, and proposals made or submitted to any Governmental Entity regarding the transactions contemplated by this Agreement by or on behalf of any Party. Notwithstanding anything herein to the contrary, Buyer shall have, except where prohibited by applicable Legal Requirement, sole and complete responsibility for determining the strategy for obtaining consents and approvals of any Governmental Entity, having in good faith considered comments made by Seller.</w:t>
      </w:r>
    </w:p>
    <w:p>
      <w:pPr>
        <w:spacing w:after="0" w:line="196" w:lineRule="exact"/>
        <w:rPr>
          <w:rFonts w:ascii="Times New Roman" w:cs="Times New Roman" w:eastAsia="Times New Roman" w:hAnsi="Times New Roman"/>
          <w:sz w:val="18"/>
          <w:szCs w:val="18"/>
          <w:color w:val="auto"/>
        </w:rPr>
      </w:pPr>
    </w:p>
    <w:p>
      <w:pPr>
        <w:jc w:val="both"/>
        <w:ind w:firstLine="642"/>
        <w:spacing w:after="0" w:line="250" w:lineRule="auto"/>
        <w:tabs>
          <w:tab w:leader="none" w:pos="11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Agreement shall require, or be construed to require, the Parties or any of their respective Affiliates to offer or agree to (a) (i) sell, hold, hold separate, divest, license, discontinue or limit, before or after the Closing Date, any assets, businesses, equity holdings, intellectual property, or other interests or (ii) any conditions relating to, or changes or restrictions in, the operations of any such assets, businesses, equity holdings, intellectual property or interests (including but not limited to any requirements to enter into new Contracts or modify or terminate existing Contracts), including with respect to the Purchased Assets and use of the Priority Review Voucher to obtain Priority Review of a product candidate of Buyer or its Affiliates or any other benefit associated with the Purchased Assets or (b) any material modification or waiver of the terms and conditions of this Agreement.</w:t>
      </w:r>
    </w:p>
    <w:p>
      <w:pPr>
        <w:spacing w:after="0" w:line="186"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bear all filing fees related to any notifications under the HSR Act.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Regulatory Change Notification</w:t>
      </w:r>
      <w:r>
        <w:rPr>
          <w:rFonts w:ascii="Times New Roman" w:cs="Times New Roman" w:eastAsia="Times New Roman" w:hAnsi="Times New Roman"/>
          <w:sz w:val="18"/>
          <w:szCs w:val="18"/>
          <w:color w:val="auto"/>
        </w:rPr>
        <w:t>. Until the earlier of the Closing or the termination of this Agreement, Seller shall provide Buyer with prompt written notification of the occurrence of any Regulatory Change of which Seller becomes aware.</w:t>
      </w:r>
    </w:p>
    <w:p>
      <w:pPr>
        <w:spacing w:after="0" w:line="163" w:lineRule="exact"/>
        <w:rPr>
          <w:sz w:val="20"/>
          <w:szCs w:val="20"/>
          <w:color w:val="auto"/>
        </w:rPr>
      </w:pPr>
    </w:p>
    <w:p>
      <w:pPr>
        <w:jc w:val="both"/>
        <w:ind w:firstLine="636"/>
        <w:spacing w:after="0" w:line="216" w:lineRule="exact"/>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During the period from the Effective Date and continuing until the earlier of the termination of this Agreement or the Closing Date (the “</w:t>
      </w:r>
      <w:r>
        <w:rPr>
          <w:rFonts w:ascii="Times New Roman" w:cs="Times New Roman" w:eastAsia="Times New Roman" w:hAnsi="Times New Roman"/>
          <w:sz w:val="18"/>
          <w:szCs w:val="18"/>
          <w:b w:val="1"/>
          <w:bCs w:val="1"/>
          <w:i w:val="1"/>
          <w:iCs w:val="1"/>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Closing Period</w:t>
      </w:r>
      <w:r>
        <w:rPr>
          <w:rFonts w:ascii="Times New Roman" w:cs="Times New Roman" w:eastAsia="Times New Roman" w:hAnsi="Times New Roman"/>
          <w:sz w:val="18"/>
          <w:szCs w:val="18"/>
          <w:color w:val="auto"/>
        </w:rPr>
        <w:t>”), except as otherwise expressly contemplated by this Agreement or with such other Party’s prior written consent, which consent shall not be unreasonably withheld, conditioned or delayed, each Party shall not, and shall cause its Affiliates not to, knowingly take or permit any action that, or omit to take any action the absence of which, could reasonably be expected to prevent or materially delay the satisfaction of the conditions set forth in Article VI.</w:t>
      </w:r>
    </w:p>
    <w:p>
      <w:pPr>
        <w:spacing w:after="0" w:line="155" w:lineRule="exact"/>
        <w:rPr>
          <w:sz w:val="20"/>
          <w:szCs w:val="20"/>
          <w:color w:val="auto"/>
        </w:rPr>
      </w:pPr>
    </w:p>
    <w:p>
      <w:pPr>
        <w:jc w:val="both"/>
        <w:ind w:firstLine="636"/>
        <w:spacing w:after="0" w:line="220" w:lineRule="exact"/>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During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Period, Seller shall not and shall cause its controlled Affiliates not to, nor shall it authorize or instruct any of its other Affiliates or its or their Representatives to, (i) solicit, initiate, facilitate or encourage any inquiries, proposals or offers with respect to, or the submission of, any Alternative Transaction by any Person (other than Buyer or its Affiliates or their respective Representatives) or any inquiry, proposal or offer that is reasonably likely to lead to an Alternative Transaction, (ii) engage, continue or participate in any discussions or negotiations regarding, or take any other action intended or reasonably expected to facilitate the making of any inquiry, proposal or offer to Seller that constitutes, or may reasonably be expected to lead to, any Alternative Transaction by any Person (other than Buyer or its Affiliates or their respective Representatives) other than to state that they are not permitted to have discussions, (iii) accept any inquiry, proposal or offer from any Person (other than Buyer) in respect of an Alternative Transaction, or (iv) resolve to propose or agree to do any of the foregoing.</w:t>
      </w:r>
    </w:p>
    <w:p>
      <w:pPr>
        <w:spacing w:after="0" w:line="194" w:lineRule="exact"/>
        <w:rPr>
          <w:sz w:val="20"/>
          <w:szCs w:val="20"/>
          <w:color w:val="auto"/>
        </w:rPr>
      </w:pPr>
    </w:p>
    <w:p>
      <w:pPr>
        <w:jc w:val="both"/>
        <w:ind w:firstLine="636"/>
        <w:spacing w:after="0" w:line="223" w:lineRule="exact"/>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 of Intent to Use</w:t>
      </w:r>
      <w:r>
        <w:rPr>
          <w:rFonts w:ascii="Times New Roman" w:cs="Times New Roman" w:eastAsia="Times New Roman" w:hAnsi="Times New Roman"/>
          <w:sz w:val="18"/>
          <w:szCs w:val="18"/>
          <w:color w:val="auto"/>
        </w:rPr>
        <w:t xml:space="preserve">. Buyer may, on or after the Effective Date and prior to the Closing, submit a Notice of Intent to Use the Priority Review Voucher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the FDA of its intent to use the Priority Review Voucher to obtain Priority Review of a human drug application of Buyer’s choice in accordance with the applicable provisions of the FDCA and the Priority Review Voucher (a “</w:t>
      </w:r>
      <w:r>
        <w:rPr>
          <w:rFonts w:ascii="Times New Roman" w:cs="Times New Roman" w:eastAsia="Times New Roman" w:hAnsi="Times New Roman"/>
          <w:sz w:val="18"/>
          <w:szCs w:val="18"/>
          <w:b w:val="1"/>
          <w:bCs w:val="1"/>
          <w:i w:val="1"/>
          <w:iCs w:val="1"/>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Closing PRV Notice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both"/>
        <w:ind w:firstLine="642"/>
        <w:spacing w:after="0" w:line="227" w:lineRule="exact"/>
        <w:tabs>
          <w:tab w:leader="none" w:pos="104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 Date, Seller shall deliver, or cause to be delivered, to Buyer a letter,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and duly executed by Seller, addressed to the FDA confirming the Parties’ agreement, subject to approval under the HSR Act, to transfer the Priority Review Voucher to Buyer and confirming that Seller has authorized Buyer to submit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PRV Notice.</w:t>
      </w:r>
    </w:p>
    <w:p>
      <w:pPr>
        <w:spacing w:after="0" w:line="129" w:lineRule="exact"/>
        <w:rPr>
          <w:rFonts w:ascii="Times New Roman" w:cs="Times New Roman" w:eastAsia="Times New Roman" w:hAnsi="Times New Roman"/>
          <w:sz w:val="18"/>
          <w:szCs w:val="18"/>
          <w:color w:val="auto"/>
        </w:rPr>
      </w:pPr>
    </w:p>
    <w:p>
      <w:pPr>
        <w:ind w:left="1020" w:hanging="378"/>
        <w:spacing w:after="0" w:line="207" w:lineRule="exact"/>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may submit a copy of the letter referred to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to the FDA together with, or in support of,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PRV Notice.</w:t>
      </w:r>
    </w:p>
    <w:p>
      <w:pPr>
        <w:spacing w:after="0" w:line="217" w:lineRule="exact"/>
        <w:rPr>
          <w:rFonts w:ascii="Times New Roman" w:cs="Times New Roman" w:eastAsia="Times New Roman" w:hAnsi="Times New Roman"/>
          <w:sz w:val="18"/>
          <w:szCs w:val="18"/>
          <w:color w:val="auto"/>
        </w:rPr>
      </w:pPr>
    </w:p>
    <w:p>
      <w:pPr>
        <w:jc w:val="both"/>
        <w:ind w:firstLine="642"/>
        <w:spacing w:after="0" w:line="226" w:lineRule="exact"/>
        <w:tabs>
          <w:tab w:leader="none" w:pos="10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notify Seller within three (3) Business Days of (i)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PRV Notice given to the FDA and (ii) the date falling at least ninety (90) days after the date of such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PRV Notice that is specified by Buyer in a notice to the FDA as being the date on which Buyer intends to submit its new drug application to which that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PRV Notice relates (the “</w:t>
      </w:r>
      <w:r>
        <w:rPr>
          <w:rFonts w:ascii="Times New Roman" w:cs="Times New Roman" w:eastAsia="Times New Roman" w:hAnsi="Times New Roman"/>
          <w:sz w:val="18"/>
          <w:szCs w:val="18"/>
          <w:b w:val="1"/>
          <w:bCs w:val="1"/>
          <w:i w:val="1"/>
          <w:iCs w:val="1"/>
          <w:color w:val="auto"/>
        </w:rPr>
        <w:t>Target PRV Use Date</w:t>
      </w:r>
      <w:r>
        <w:rPr>
          <w:rFonts w:ascii="Times New Roman" w:cs="Times New Roman" w:eastAsia="Times New Roman" w:hAnsi="Times New Roman"/>
          <w:sz w:val="18"/>
          <w:szCs w:val="18"/>
          <w:color w:val="auto"/>
        </w:rPr>
        <w:t>”). For the avoidance of doubt, subject to the requirements of the FDCA and the Approval Letter, the Target PRV Use Date shall be determined by Buyer in Buyer’s sole discretion.</w:t>
      </w:r>
    </w:p>
    <w:p>
      <w:pPr>
        <w:spacing w:after="0" w:line="194" w:lineRule="exact"/>
        <w:rPr>
          <w:rFonts w:ascii="Times New Roman" w:cs="Times New Roman" w:eastAsia="Times New Roman" w:hAnsi="Times New Roman"/>
          <w:sz w:val="18"/>
          <w:szCs w:val="18"/>
          <w:color w:val="auto"/>
        </w:rPr>
      </w:pPr>
    </w:p>
    <w:p>
      <w:pPr>
        <w:jc w:val="both"/>
        <w:ind w:firstLine="642"/>
        <w:spacing w:after="0" w:line="215" w:lineRule="exact"/>
        <w:tabs>
          <w:tab w:leader="none" w:pos="101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shall, or shall cause their respective Affiliates to, keep the other Party reasonably apprised of the status of any communications with, and any inquiries or requests for additional information from, the FDA in connection with any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The Parties acknowledge and agree that (i) neither Party makes any representation or warranty that the FDA will accept the submission by Buyer prior to the Closing of such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or otherwise agree that such submission by Buyer prior to the Closing will allow the Buyer to submit a human drug application as defined in section 735(1) of the FDCA (21 U.S.C. § 379g(1)) for Priority Review within 90 days of submission by Buyer prior to the Closing of such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(ii) it is not a condition to either Party’s obligation to consummate the Closing that the FDA has so accepted such submission by Buyer or otherwise so agreed that such submission by Buyer will so allow Buyer to so submit such human drug application, (iii) if the FDA accepts the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submitted by Buyer then Buyer alone shall be responsible for payment of the priority review user fee described in section 529(c) of the FDC Act (21 U.S.C.</w:t>
      </w:r>
    </w:p>
    <w:p>
      <w:pPr>
        <w:spacing w:after="0" w:line="1" w:lineRule="exact"/>
        <w:rPr>
          <w:rFonts w:ascii="Times New Roman" w:cs="Times New Roman" w:eastAsia="Times New Roman" w:hAnsi="Times New Roman"/>
          <w:sz w:val="17"/>
          <w:szCs w:val="17"/>
          <w:color w:val="auto"/>
        </w:rPr>
      </w:pPr>
    </w:p>
    <w:p>
      <w:pPr>
        <w:jc w:val="both"/>
        <w:ind w:firstLine="6"/>
        <w:spacing w:after="0" w:line="216" w:lineRule="exact"/>
        <w:tabs>
          <w:tab w:leader="none" w:pos="13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360ff(c)) (the “</w:t>
      </w:r>
      <w:r>
        <w:rPr>
          <w:rFonts w:ascii="Times New Roman" w:cs="Times New Roman" w:eastAsia="Times New Roman" w:hAnsi="Times New Roman"/>
          <w:sz w:val="17"/>
          <w:szCs w:val="17"/>
          <w:b w:val="1"/>
          <w:bCs w:val="1"/>
          <w:i w:val="1"/>
          <w:iCs w:val="1"/>
          <w:color w:val="auto"/>
        </w:rPr>
        <w:t>Pre</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i w:val="1"/>
          <w:iCs w:val="1"/>
          <w:color w:val="auto"/>
        </w:rPr>
        <w:t>Closing Priority Review Fee</w:t>
      </w:r>
      <w:r>
        <w:rPr>
          <w:rFonts w:ascii="Times New Roman" w:cs="Times New Roman" w:eastAsia="Times New Roman" w:hAnsi="Times New Roman"/>
          <w:sz w:val="17"/>
          <w:szCs w:val="17"/>
          <w:color w:val="auto"/>
        </w:rPr>
        <w:t>”), and (iv) if due to an inability to obtain the expiration or termination of the waiting period under the HSR Act or a failure to satisfy or waive any other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condition described in this Agreement (other than if such inability or failure is caused by a breach by Seller of any of its representations, warranties covenants or obligations under this Agreement), or for any other reason (other than a breach by Seller of any of its representations, warranties covenants or obligations under this Agreement), the Priority Review Voucher ultimately is not transferred to Buyer, Seller shall not assume or be liable for any Liabilities of Buyer or its Affiliates in connection with the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or be otherwise required to reimburse any costs incurred by Buyer or its Affiliates in connection with the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including payment of the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Priority Review Fee.</w:t>
      </w:r>
    </w:p>
    <w:p>
      <w:pPr>
        <w:sectPr>
          <w:pgSz w:w="11900" w:h="16838" w:orient="portrait"/>
          <w:cols w:equalWidth="0" w:num="1">
            <w:col w:w="11240"/>
          </w:cols>
          <w:pgMar w:left="320" w:top="572" w:right="339" w:bottom="0" w:gutter="0" w:footer="0" w:header="0"/>
        </w:sectPr>
      </w:pPr>
    </w:p>
    <w:bookmarkStart w:id="55" w:name="page56"/>
    <w:bookmarkEnd w:id="55"/>
    <w:p>
      <w:pPr>
        <w:jc w:val="both"/>
        <w:spacing w:after="0" w:line="216" w:lineRule="exact"/>
        <w:tabs>
          <w:tab w:leader="none" w:pos="13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both"/>
        <w:ind w:firstLine="642"/>
        <w:spacing w:after="0" w:line="250" w:lineRule="auto"/>
        <w:tabs>
          <w:tab w:leader="none" w:pos="10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none of Buyer, its Affiliates or its or their Representatives, on the one hand, or Seller, its Affiliates or its or their Representatives, on the other hand, shall, prior to the Closing, take any action, make any filing or provide any notice which will or would reasonably be expected to result in the use, termination, cancellation or revocation of the Priority Review Voucher (including the submission of a human drug application which uses or redeems the Priority Review Voucher) or would otherwise adversely affect the future value, use or transferability of, or either Buyer’s or Seller’s, as applicable, rights in, the Priority Review Voucher following any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this </w:t>
      </w:r>
      <w:r>
        <w:rPr>
          <w:rFonts w:ascii="Times New Roman" w:cs="Times New Roman" w:eastAsia="Times New Roman" w:hAnsi="Times New Roman"/>
          <w:sz w:val="18"/>
          <w:szCs w:val="18"/>
          <w:u w:val="single" w:color="auto"/>
          <w:color w:val="auto"/>
        </w:rPr>
        <w:t>Section 7.05(e)</w:t>
      </w:r>
      <w:r>
        <w:rPr>
          <w:rFonts w:ascii="Times New Roman" w:cs="Times New Roman" w:eastAsia="Times New Roman" w:hAnsi="Times New Roman"/>
          <w:sz w:val="18"/>
          <w:szCs w:val="18"/>
          <w:color w:val="auto"/>
        </w:rPr>
        <w:t xml:space="preserve"> shall not prohibit any such Person from taking any action, making any filing or providing any notice in a manner expressly contemplated by this Agreement.</w:t>
      </w:r>
    </w:p>
    <w:p>
      <w:pPr>
        <w:spacing w:after="0" w:line="148" w:lineRule="exact"/>
        <w:rPr>
          <w:rFonts w:ascii="Times New Roman" w:cs="Times New Roman" w:eastAsia="Times New Roman" w:hAnsi="Times New Roman"/>
          <w:sz w:val="18"/>
          <w:szCs w:val="18"/>
          <w:color w:val="auto"/>
        </w:rPr>
      </w:pPr>
    </w:p>
    <w:p>
      <w:pPr>
        <w:ind w:left="1000" w:hanging="358"/>
        <w:spacing w:after="0" w:line="207" w:lineRule="exact"/>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may withdraw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PRV Notice at any time by notice to FDA.</w:t>
      </w:r>
    </w:p>
    <w:p>
      <w:pPr>
        <w:spacing w:after="0" w:line="25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Until the earlier of the Closing or the termination of this Agreement, Seller shall not (a) transfer or assign the Priority Review Voucher to any Person other than Buyer or enter into any Contract with respect thereto, or (b) encumber or otherwise grant or allow to exist any Encumbrance on the Priority Review Voucher (other than pursuant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9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42"/>
        <w:spacing w:after="0" w:line="250" w:lineRule="auto"/>
        <w:tabs>
          <w:tab w:leader="none" w:pos="10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Seller</w:t>
      </w:r>
      <w:r>
        <w:rPr>
          <w:rFonts w:ascii="Times New Roman" w:cs="Times New Roman" w:eastAsia="Times New Roman" w:hAnsi="Times New Roman"/>
          <w:sz w:val="18"/>
          <w:szCs w:val="18"/>
          <w:color w:val="auto"/>
        </w:rPr>
        <w:t>. From and after the Closing, Seller will indemnify, defend and hold Buyer and its Affiliates, and their respective Representatives, successors and assigns (each, a “</w:t>
      </w:r>
      <w:r>
        <w:rPr>
          <w:rFonts w:ascii="Times New Roman" w:cs="Times New Roman" w:eastAsia="Times New Roman" w:hAnsi="Times New Roman"/>
          <w:sz w:val="18"/>
          <w:szCs w:val="18"/>
          <w:b w:val="1"/>
          <w:bCs w:val="1"/>
          <w:i w:val="1"/>
          <w:iCs w:val="1"/>
          <w:color w:val="auto"/>
        </w:rPr>
        <w:t>Buyer Indemnitee</w:t>
      </w:r>
      <w:r>
        <w:rPr>
          <w:rFonts w:ascii="Times New Roman" w:cs="Times New Roman" w:eastAsia="Times New Roman" w:hAnsi="Times New Roman"/>
          <w:sz w:val="18"/>
          <w:szCs w:val="18"/>
          <w:color w:val="auto"/>
        </w:rPr>
        <w:t>”) harmless for, from and against any and all Liabilities, losses, damages, claims, costs and expenses (including reasonable attorneys’ fees) (collectively, “</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whether or not arising from, relating to, or otherwise in connection with a claim of a Third Party (each, a “</w:t>
      </w:r>
      <w:r>
        <w:rPr>
          <w:rFonts w:ascii="Times New Roman" w:cs="Times New Roman" w:eastAsia="Times New Roman" w:hAnsi="Times New Roman"/>
          <w:sz w:val="18"/>
          <w:szCs w:val="18"/>
          <w:b w:val="1"/>
          <w:bCs w:val="1"/>
          <w:i w:val="1"/>
          <w:iCs w:val="1"/>
          <w:color w:val="auto"/>
        </w:rPr>
        <w:t>Third Party Claim</w:t>
      </w:r>
      <w:r>
        <w:rPr>
          <w:rFonts w:ascii="Times New Roman" w:cs="Times New Roman" w:eastAsia="Times New Roman" w:hAnsi="Times New Roman"/>
          <w:sz w:val="18"/>
          <w:szCs w:val="18"/>
          <w:color w:val="auto"/>
        </w:rPr>
        <w:t>”), which any Buyer Indemnitee may suffer, incur, sustain, or become subject to, to the extent arising from, relating to or otherwise in connection with (i) any breach of, or inaccuracy in, any of Seller’s representations and warranties made under this Agreement or any certificate delivered by Seller hereunder; (ii) any breach of, or failure to perform, any of Seller’s (or Zevra DN’s) covenants or obligations made under this Agreement or any certificate delivered by Seller hereunder; or (iii) arising out of any Excluded Liabilities.</w:t>
      </w:r>
    </w:p>
    <w:p>
      <w:pPr>
        <w:spacing w:after="0" w:line="186" w:lineRule="exact"/>
        <w:rPr>
          <w:rFonts w:ascii="Times New Roman" w:cs="Times New Roman" w:eastAsia="Times New Roman" w:hAnsi="Times New Roman"/>
          <w:sz w:val="18"/>
          <w:szCs w:val="18"/>
          <w:color w:val="auto"/>
        </w:rPr>
      </w:pPr>
    </w:p>
    <w:p>
      <w:pPr>
        <w:jc w:val="both"/>
        <w:ind w:firstLine="642"/>
        <w:spacing w:after="0" w:line="251" w:lineRule="auto"/>
        <w:tabs>
          <w:tab w:leader="none" w:pos="10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Buyer</w:t>
      </w:r>
      <w:r>
        <w:rPr>
          <w:rFonts w:ascii="Times New Roman" w:cs="Times New Roman" w:eastAsia="Times New Roman" w:hAnsi="Times New Roman"/>
          <w:sz w:val="18"/>
          <w:szCs w:val="18"/>
          <w:color w:val="auto"/>
        </w:rPr>
        <w:t>. From and after the Closing, Buyer will indemnify, defend and hold Seller and its Affiliates, and their respective Representatives, successors and assigns (each, a “</w:t>
      </w:r>
      <w:r>
        <w:rPr>
          <w:rFonts w:ascii="Times New Roman" w:cs="Times New Roman" w:eastAsia="Times New Roman" w:hAnsi="Times New Roman"/>
          <w:sz w:val="18"/>
          <w:szCs w:val="18"/>
          <w:b w:val="1"/>
          <w:bCs w:val="1"/>
          <w:i w:val="1"/>
          <w:iCs w:val="1"/>
          <w:color w:val="auto"/>
        </w:rPr>
        <w:t>Seller Indemnitee</w:t>
      </w:r>
      <w:r>
        <w:rPr>
          <w:rFonts w:ascii="Times New Roman" w:cs="Times New Roman" w:eastAsia="Times New Roman" w:hAnsi="Times New Roman"/>
          <w:sz w:val="18"/>
          <w:szCs w:val="18"/>
          <w:color w:val="auto"/>
        </w:rPr>
        <w:t>”) harmless for, from and against any and all Damages, whether or not arising from, relating to or otherwise in connection with a Third Party Claim, which any Seller Indemnitee may suffer, incur, sustain, or become subject to, to the extent arising from, relating to or otherwise in connection with (i) any breach of, or inaccuracy in. any of Buyer’s representations and warranties made under this Agreement or any certificate delivered by Buyer hereunder; or (ii) any breach of, or failure to perform, any of Buyer’s covenants or obligations made under this Agreement or any certificate delivered by Buyer hereunder.</w:t>
      </w:r>
    </w:p>
    <w:p>
      <w:pPr>
        <w:spacing w:after="0" w:line="185"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firstLine="642"/>
        <w:spacing w:after="0" w:line="278" w:lineRule="auto"/>
        <w:tabs>
          <w:tab w:leader="none" w:pos="100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entitled to indemnification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will hereinafter be referred to as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Party obligated to indemnify an Indemnitee hereunder will hereinafter be referred to as an “</w:t>
      </w:r>
      <w:r>
        <w:rPr>
          <w:rFonts w:ascii="Times New Roman" w:cs="Times New Roman" w:eastAsia="Times New Roman" w:hAnsi="Times New Roman"/>
          <w:sz w:val="18"/>
          <w:szCs w:val="18"/>
          <w:b w:val="1"/>
          <w:bCs w:val="1"/>
          <w:i w:val="1"/>
          <w:iCs w:val="1"/>
          <w:color w:val="auto"/>
        </w:rPr>
        <w:t>Indemnitor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642"/>
        <w:spacing w:after="0" w:line="266" w:lineRule="auto"/>
        <w:tabs>
          <w:tab w:leader="none" w:pos="10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claim for indemnification for any matter not involving a Third Party Claim may be asserted by written notice to the Indemnitor. Such notice shall include the facts constituting the basis for such claim for indemnification, the Sections of this Agreement upon which such claim for indemnification is then based and an estimate, to the extent known, of the amount of Damages suffered or reasonably expected to be suffered by the Indemnitee;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failure to give such notification or any deficiency in such notification will not relieve such Indemnitor from any obligation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except</w:t>
      </w:r>
    </w:p>
    <w:p>
      <w:pPr>
        <w:jc w:val="both"/>
        <w:ind w:firstLine="6"/>
        <w:spacing w:after="0" w:line="246" w:lineRule="auto"/>
        <w:tabs>
          <w:tab w:leader="none" w:pos="2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failure to give such notification or such deficiency in such notification actually and materially prejudices such Indemnitor or (ii)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If the Indemnitor does not notify the Indemnitee within twenty (20) Business Days following its receipt of such notice that the Indemnitor rejects liability in the specified amount for the indemnity claimed by the Indemnitee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as applicable, such indemnity claim specified by the Indemnitee in such notice shall be deemed accepted by the Indemnitor, in which case, the Indemnitee will be obligated to promptly pay the Indemnitee the full amount (subject, however, to the limitations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set forth in such notice with respect to such indemnity claim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the terms hereof.</w:t>
      </w:r>
    </w:p>
    <w:p>
      <w:pPr>
        <w:spacing w:after="0" w:line="191" w:lineRule="exact"/>
        <w:rPr>
          <w:rFonts w:ascii="Times New Roman" w:cs="Times New Roman" w:eastAsia="Times New Roman" w:hAnsi="Times New Roman"/>
          <w:sz w:val="18"/>
          <w:szCs w:val="18"/>
          <w:color w:val="auto"/>
        </w:rPr>
      </w:pPr>
    </w:p>
    <w:p>
      <w:pPr>
        <w:jc w:val="both"/>
        <w:ind w:firstLine="642"/>
        <w:spacing w:after="0" w:line="255" w:lineRule="auto"/>
        <w:tabs>
          <w:tab w:leader="none" w:pos="10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instituted or asserted Third Party Claim against an Indemnitee, Indemnitee shall inform Indemnitor of such Third Party Claim as soon as reasonably practicable after such Third Party Claim arises;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notification or any deficiency in such notification will not relieve such Indemnitor from any obligation under this Article VIII, except (i) to the extent such failure to give such notification or such deficiency in such notification actually and materially prejudices such Indemnitor or (ii) as provided in Section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344805</wp:posOffset>
            </wp:positionV>
            <wp:extent cx="71348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57" w:name="page58"/>
    <w:bookmarkEnd w:id="57"/>
    <w:p>
      <w:pPr>
        <w:jc w:val="both"/>
        <w:ind w:firstLine="642"/>
        <w:spacing w:after="0" w:line="261" w:lineRule="auto"/>
        <w:tabs>
          <w:tab w:leader="none" w:pos="102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Indemnitor shall have the right to defend, at its sole cost and expense (with counsel reasonably selected by the Indemnitor and approved by the Indemnitee, such approval not to be unreasonably withheld or delayed), a Third Party Claim by all appropriate proceedings, which proceedings shall be prosecuted diligently by the Indemnitor to a final conclusion or settled at the discretion of the Indemnitor;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Indemnitor may not assume control of defense to a Third Party Claim (i) unless it covenants to the Indemnitee in writing within ten (10) Business Days after the Indemnitee has given written notice of the Third Party Claim to the Indemnitor to indemnify, defend and hold harmless the Indemnitee from and against the entirety of any and all Damages that the Indemnitee may suffer resulting from or arising out of the Third Party Claim (subject, however, to the limitations set forth in Section 8.03), (ii) in which equitable relief other than monetary damages is sought, (iii) if such Third Party Claim is brought by a Governmental Entity or is otherwise related to or arises in connection with any FDA, Tax or criminal or regulatory enforcement matter, (iv) if the Indemnitee has been advised in writing by outside counsel that a legal conflict or potential legal conflict exists between the Indemnitee and the Indemnitor in connection with conducting the defense of the Third Party Claim, or (v) settlement of, an adverse Order with respect to, or conduct of the defense of the Third Party Claim by the Indemnitor is, in the good faith judgment of the Indemnitee, likely to be materially adverse to the Indemnitee’s or its Affiliates’ reputation or continuing business interests (including its relationships with current or potential customers, licensors, distributors, suppliers, or other parties material to the conduct of its business);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further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Indemnitor may not enter into any compromise or settlement unless (i) such compromise or settlement includes 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unconditional term thereof, the giving by each claimant or plaintiff to the Indemnitee of a release from all liability in respect of such Third Party Claim; and</w:t>
      </w:r>
    </w:p>
    <w:p>
      <w:pPr>
        <w:spacing w:after="0" w:line="11" w:lineRule="exact"/>
        <w:rPr>
          <w:rFonts w:ascii="Times New Roman" w:cs="Times New Roman" w:eastAsia="Times New Roman" w:hAnsi="Times New Roman"/>
          <w:sz w:val="17"/>
          <w:szCs w:val="17"/>
          <w:color w:val="auto"/>
        </w:rPr>
      </w:pPr>
    </w:p>
    <w:p>
      <w:pPr>
        <w:jc w:val="both"/>
        <w:ind w:firstLine="6"/>
        <w:spacing w:after="0" w:line="246" w:lineRule="auto"/>
        <w:tabs>
          <w:tab w:leader="none" w:pos="2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consents to such compromise or settlement, which consent shall not be unreasonably withheld or delayed unless such compromise or settlement involves (A) any admission of legal wrongdoing by the Indemnitee, (B) any payment by the Indemnitee that is not indemnified hereunder or (C) the imposition of any equitable relief against the Indemnitee, in which case ((A) – (C)) the Indemnitee may withhold its consent in its sole discretion. If a good faith and diligent defense is not being or ceases to be materially conducted by the Indemnitor, the Indemnitee shall have the right, at the expense of the Indemnitor, upon at least ten (10) Business Days’ prior written notice to the Indemnitor of its intent to do so, to undertake the defense of such Third Party Claim for the account of the Indemnitor (with counsel reasonably selected by the Indemnitee and approved by the Indemnitor, such approval not to be unreasonably withheld or delayed). If the Indemnitee is defending such Third Party Claim, the Indemnitee shall keep the Indemnitor apprised of all material developments with respect to such Third Party Claim and promptly provide the Indemnitor with copies of all correspondence and documents exchanged by the Indemnitee and the opposing party(ies) to such litigation. If the Indemnitor has elected to defend such Third Party Claim or if the Indemnitor has otherwise acknowledged in writing its responsibility for indemnifying a Third Party Claim, the Indemnitee may not compromise or settle such litigation without the prior written consent of the Indemnitor, such consent not to be unreasonably withheld or delayed.</w:t>
      </w:r>
    </w:p>
    <w:p>
      <w:pPr>
        <w:spacing w:after="0" w:line="190" w:lineRule="exact"/>
        <w:rPr>
          <w:rFonts w:ascii="Times New Roman" w:cs="Times New Roman" w:eastAsia="Times New Roman" w:hAnsi="Times New Roman"/>
          <w:sz w:val="18"/>
          <w:szCs w:val="18"/>
          <w:color w:val="auto"/>
        </w:rPr>
      </w:pPr>
    </w:p>
    <w:p>
      <w:pPr>
        <w:jc w:val="both"/>
        <w:ind w:firstLine="642"/>
        <w:spacing w:after="0" w:line="255"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Indemnitee may participate in, but not control, any defense or settlement of any Third Party Claim controlled by the Indemnitor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shall bear its own costs and expenses with respect to such participation;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Indemnitor shall bear such costs and expenses (i) if counsel for the Indemnitor or counsel for the Indemnitee shall have reasonably determined that counsel for the Indemnitor may not properly represent both the Indemnitor and the Indemnitee or (ii) if such participation is requested by the Indemnitor.</w:t>
      </w:r>
    </w:p>
    <w:p>
      <w:pPr>
        <w:spacing w:after="0" w:line="18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Limitations on Indemnification</w:t>
      </w:r>
      <w:r>
        <w:rPr>
          <w:rFonts w:ascii="Times New Roman" w:cs="Times New Roman" w:eastAsia="Times New Roman" w:hAnsi="Times New Roman"/>
          <w:sz w:val="17"/>
          <w:szCs w:val="17"/>
          <w:color w:val="auto"/>
        </w:rPr>
        <w:t xml:space="preserve">. Notwithstanding anything to the contrary contained in this Agreement, the maximum aggregate amount of indemnifiable Damages that may be recovered from (a) Seller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shall equal the Purchase Price, and (b) Buyer pursuant to </w:t>
      </w:r>
      <w:r>
        <w:rPr>
          <w:rFonts w:ascii="Times New Roman" w:cs="Times New Roman" w:eastAsia="Times New Roman" w:hAnsi="Times New Roman"/>
          <w:sz w:val="17"/>
          <w:szCs w:val="17"/>
          <w:u w:val="single" w:color="auto"/>
          <w:color w:val="auto"/>
        </w:rPr>
        <w:t>Section 8.01(b)</w:t>
      </w:r>
      <w:r>
        <w:rPr>
          <w:rFonts w:ascii="Times New Roman" w:cs="Times New Roman" w:eastAsia="Times New Roman" w:hAnsi="Times New Roman"/>
          <w:sz w:val="17"/>
          <w:szCs w:val="17"/>
          <w:color w:val="auto"/>
        </w:rPr>
        <w:t xml:space="preserve"> shall equal the Purchase Price. Notwithstanding anything to the contrary set forth herein, except to the extent actually awarded against an Indemnitee pursuant to an Order with respect to a Third Party Claim and except for another Party’s fraud, no Party shall have any liability under any provision of this Agreement (including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for any punitive, incidental, special or indirect damages or damages for or otherwise based on business interruption, diminution of value, loss of future revenue, profits or income, or loss of business reputation or opportunity relating to the breach or alleged breach of this Agreement. Nothing in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shall operate to limit or exclude in any way Seller’s liability for any and all Excluded Liabilities.</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Additional Indemnification Matters</w:t>
      </w:r>
      <w:r>
        <w:rPr>
          <w:rFonts w:ascii="Times New Roman" w:cs="Times New Roman" w:eastAsia="Times New Roman" w:hAnsi="Times New Roman"/>
          <w:sz w:val="18"/>
          <w:szCs w:val="18"/>
          <w:color w:val="auto"/>
        </w:rPr>
        <w:t>. The right of indemnification provided under this Article VIII shall not be affected by any knowledge acquired (or capable of being acquired) at any time, whether before or after the Closing, with respect to the accuracy or inaccuracy of, or compliance or noncompliance with, any representation, warranty, covenant, or agreement contained herein. Notwithstanding anything to the contrary herein, for the purposes of this Article VIII, for the purposes of determining the amount of Damages, each representation or warranty made by a Party will be deemed made without any qualifications or limitations as to materiality and, without limiting the foregoing, the word “material” and words of similar import will be deemed deleted from any such representation or warranty.</w:t>
      </w:r>
    </w:p>
    <w:p>
      <w:pPr>
        <w:spacing w:after="0" w:line="185"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 xml:space="preserve">Section 8.05 </w:t>
      </w:r>
      <w:r>
        <w:rPr>
          <w:rFonts w:ascii="Times New Roman" w:cs="Times New Roman" w:eastAsia="Times New Roman" w:hAnsi="Times New Roman"/>
          <w:sz w:val="17"/>
          <w:szCs w:val="17"/>
          <w:u w:val="single" w:color="auto"/>
          <w:color w:val="auto"/>
        </w:rPr>
        <w:t>Exclusive Remedy</w:t>
      </w:r>
      <w:r>
        <w:rPr>
          <w:rFonts w:ascii="Times New Roman" w:cs="Times New Roman" w:eastAsia="Times New Roman" w:hAnsi="Times New Roman"/>
          <w:sz w:val="17"/>
          <w:szCs w:val="17"/>
          <w:color w:val="auto"/>
        </w:rPr>
        <w:t xml:space="preserve">. From and after the Closing, except in the case of fraud and as otherwise provided in </w:t>
      </w:r>
      <w:r>
        <w:rPr>
          <w:rFonts w:ascii="Times New Roman" w:cs="Times New Roman" w:eastAsia="Times New Roman" w:hAnsi="Times New Roman"/>
          <w:sz w:val="17"/>
          <w:szCs w:val="17"/>
          <w:u w:val="single" w:color="auto"/>
          <w:color w:val="auto"/>
        </w:rPr>
        <w:t>Section 11.09</w:t>
      </w:r>
      <w:r>
        <w:rPr>
          <w:rFonts w:ascii="Times New Roman" w:cs="Times New Roman" w:eastAsia="Times New Roman" w:hAnsi="Times New Roman"/>
          <w:sz w:val="17"/>
          <w:szCs w:val="17"/>
          <w:color w:val="auto"/>
        </w:rPr>
        <w:t xml:space="preserve">, the sole and exclusive remedy of any Indemnitee for any Damages that such Indemnitee may at any time suffer or incur, or become subject to, as a result of, or in connection with this Agreement, including any inaccuracy, violation or breach of any representation and warranty contained in this Agreement by any Party, or any failure by any Party to perform or comply with any covenant or agreement that, by its terms, was to have been performed, or complied with, under this Agreement, shall be indemnification in accordance with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(subject to the applicable qualifications and limitations set forth in this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Termination Prior to Closing</w:t>
      </w:r>
      <w:r>
        <w:rPr>
          <w:rFonts w:ascii="Times New Roman" w:cs="Times New Roman" w:eastAsia="Times New Roman" w:hAnsi="Times New Roman"/>
          <w:sz w:val="18"/>
          <w:szCs w:val="18"/>
          <w:color w:val="auto"/>
        </w:rPr>
        <w:t>. Notwithstanding any contrary provisions of this Agreement, this Agreement and the respective obligations of the Parties to consummate the transactions contemplated by this Agreement may be terminated and abandoned at any time before the Closing only as follows:</w:t>
      </w:r>
    </w:p>
    <w:p>
      <w:pPr>
        <w:spacing w:after="0" w:line="178" w:lineRule="exact"/>
        <w:rPr>
          <w:sz w:val="20"/>
          <w:szCs w:val="20"/>
          <w:color w:val="auto"/>
        </w:rPr>
      </w:pPr>
    </w:p>
    <w:p>
      <w:pPr>
        <w:ind w:left="1020" w:hanging="378"/>
        <w:spacing w:after="0"/>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Buyer and Seller; or</w:t>
      </w:r>
    </w:p>
    <w:p>
      <w:pPr>
        <w:spacing w:after="0" w:line="217" w:lineRule="exact"/>
        <w:rPr>
          <w:rFonts w:ascii="Times New Roman" w:cs="Times New Roman" w:eastAsia="Times New Roman" w:hAnsi="Times New Roman"/>
          <w:sz w:val="18"/>
          <w:szCs w:val="18"/>
          <w:color w:val="auto"/>
        </w:rPr>
      </w:pPr>
    </w:p>
    <w:p>
      <w:pPr>
        <w:jc w:val="both"/>
        <w:ind w:firstLine="642"/>
        <w:spacing w:after="0" w:line="255" w:lineRule="auto"/>
        <w:tabs>
          <w:tab w:leader="none" w:pos="103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by written notice to the other Party if the Closing has not occurred on or before 11:59 p.m., Eastern Standard Time, on the date that is ninety (90) days following the Effective Date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shall not be available to any Party whose material breach of any provision set forth in this Agreement is the primary cause of the failure of the Closing to occur on or before such date;</w:t>
      </w:r>
    </w:p>
    <w:p>
      <w:pPr>
        <w:spacing w:after="0" w:line="180" w:lineRule="exact"/>
        <w:rPr>
          <w:rFonts w:ascii="Times New Roman" w:cs="Times New Roman" w:eastAsia="Times New Roman" w:hAnsi="Times New Roman"/>
          <w:sz w:val="18"/>
          <w:szCs w:val="18"/>
          <w:color w:val="auto"/>
        </w:rPr>
      </w:pPr>
    </w:p>
    <w:p>
      <w:pPr>
        <w:ind w:left="1040" w:hanging="398"/>
        <w:spacing w:after="0"/>
        <w:tabs>
          <w:tab w:leader="none" w:pos="10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Buyer or Seller, if (i) any Law having the effect referred to in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has been enacted, issued, promulgated, enforced or entered or</w:t>
      </w:r>
    </w:p>
    <w:p>
      <w:pPr>
        <w:spacing w:after="0" w:line="35" w:lineRule="exact"/>
        <w:rPr>
          <w:rFonts w:ascii="Times New Roman" w:cs="Times New Roman" w:eastAsia="Times New Roman" w:hAnsi="Times New Roman"/>
          <w:sz w:val="17"/>
          <w:szCs w:val="17"/>
          <w:color w:val="auto"/>
        </w:rPr>
      </w:pPr>
    </w:p>
    <w:p>
      <w:pPr>
        <w:ind w:left="260" w:hanging="254"/>
        <w:spacing w:after="0" w:line="207" w:lineRule="exact"/>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injunction or decree having the effect referred to in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is in effect and has become final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appealable;</w:t>
      </w:r>
    </w:p>
    <w:p>
      <w:pPr>
        <w:spacing w:after="0" w:line="197" w:lineRule="exact"/>
        <w:rPr>
          <w:rFonts w:ascii="Times New Roman" w:cs="Times New Roman" w:eastAsia="Times New Roman" w:hAnsi="Times New Roman"/>
          <w:sz w:val="18"/>
          <w:szCs w:val="18"/>
          <w:color w:val="auto"/>
        </w:rPr>
      </w:pPr>
    </w:p>
    <w:p>
      <w:pPr>
        <w:jc w:val="both"/>
        <w:ind w:firstLine="642"/>
        <w:spacing w:after="0" w:line="251" w:lineRule="auto"/>
        <w:tabs>
          <w:tab w:leader="none" w:pos="103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if Buyer is not in material breach of its obligations under this Agreement and there has been a violation or breach by Seller of any of its representations, warranties, covenants or other agreements contained in this Agreement, which has prevented or would prevent the satisfaction of any condition to the obligations of Buyer at the Closing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 (i) such violation or breach has not been waived by Buyer, (ii) Buyer has provided written notice to Seller of such violation or breach setting forth the allegations of violation or breach in reasonable detail, and (iii) such violation or breach cannot be or has not been cured by Seller within twenty (20) Business Days after receiving written notice thereof from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twenty (20) Business Day extend beyond the Outside Date); or</w:t>
      </w:r>
    </w:p>
    <w:p>
      <w:pPr>
        <w:sectPr>
          <w:pgSz w:w="11900" w:h="16838" w:orient="portrait"/>
          <w:cols w:equalWidth="0" w:num="1">
            <w:col w:w="11240"/>
          </w:cols>
          <w:pgMar w:left="320" w:top="572" w:right="339" w:bottom="0" w:gutter="0" w:footer="0" w:header="0"/>
        </w:sectPr>
      </w:pPr>
    </w:p>
    <w:bookmarkStart w:id="58" w:name="page59"/>
    <w:bookmarkEnd w:id="58"/>
    <w:p>
      <w:pPr>
        <w:jc w:val="both"/>
        <w:spacing w:after="0" w:line="251" w:lineRule="auto"/>
        <w:tabs>
          <w:tab w:leader="none" w:pos="103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77" w:lineRule="exact"/>
        <w:rPr>
          <w:sz w:val="20"/>
          <w:szCs w:val="20"/>
          <w:color w:val="auto"/>
        </w:rPr>
      </w:pPr>
    </w:p>
    <w:p>
      <w:pPr>
        <w:jc w:val="both"/>
        <w:ind w:firstLine="642"/>
        <w:spacing w:after="0" w:line="251" w:lineRule="auto"/>
        <w:tabs>
          <w:tab w:leader="none" w:pos="10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 if Seller is not in material breach of its obligations under this Agreement and there has been a violation or breach by Buyer of any of its representations, warranties, covenants or other agreements contained in this Agreement, which has prevented or would prevent the satisfaction of any condition to the obligations of Seller at the Closing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(i) such violation or breach has not been waived by Seller, (ii) Seller has provided written notice to Buyer of such violation or breach setting forth the allegations of violation or breach in reasonable detail, and (iii) such violation or breach cannot be or has not been cured by Buyer within twenty (20) Business Days after receiving written notice thereof from Seller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twenty (20) Business Day extend beyond the Outside Date).</w:t>
      </w:r>
    </w:p>
    <w:p>
      <w:pPr>
        <w:spacing w:after="0" w:line="185" w:lineRule="exact"/>
        <w:rPr>
          <w:sz w:val="20"/>
          <w:szCs w:val="20"/>
          <w:color w:val="auto"/>
        </w:rPr>
      </w:pPr>
    </w:p>
    <w:p>
      <w:pPr>
        <w:jc w:val="both"/>
        <w:ind w:firstLine="636"/>
        <w:spacing w:after="0" w:line="217" w:lineRule="exact"/>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the termination of this Agreement as provided in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(a) written notice thereof shall forthwith be given to the other Party specifying the provision hereof pursuant to which such termination is made, (b) this Agreement shall forthwith become null and void (except for the provisions of this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which shall survive any such termination), (c) if a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 was submitted by Buyer to the FDA prior to such termination, Buyer shall promptly (i) withdraw any such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PRV Notice,</w:t>
      </w:r>
    </w:p>
    <w:p>
      <w:pPr>
        <w:spacing w:after="0" w:line="1" w:lineRule="exact"/>
        <w:rPr>
          <w:sz w:val="20"/>
          <w:szCs w:val="20"/>
          <w:color w:val="auto"/>
        </w:rPr>
      </w:pPr>
    </w:p>
    <w:p>
      <w:pPr>
        <w:jc w:val="both"/>
        <w:ind w:firstLine="6"/>
        <w:spacing w:after="0" w:line="248" w:lineRule="auto"/>
        <w:tabs>
          <w:tab w:leader="none" w:pos="2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Seller with a copy of such withdrawal, (iii) confirm in writing to Seller that the Priority Review Voucher was not, at any time, used by Buyer or its Affiliates in connection with any human drug application prior to such withdrawal, and (d) there shall be no liability on the part of Buyer or Seller except for damages resulting from any breach of this Agreement prior to termination of this Agreement by Buyer or Seller.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198"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42"/>
        <w:spacing w:after="0" w:line="251" w:lineRule="auto"/>
        <w:tabs>
          <w:tab w:leader="none" w:pos="10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reasonably with each other in connection with any steps required to be taken as part of their respective obligations under this Agreement, including without limitation any notifications or filings required to be made to the FDA in connection with the transfer of the Purchased Assets, and shall (i) furnish upon request to each other such further information, (ii) execute and deliver to each other such other documents, and (iii) do such other acts and things, all as the other Party may reasonably request for the purpose of carrying out the intent of this Agreement and the transactions contemplated by this Agreement, including the use by Buyer, its Affiliates or their respective successors and assigns of the Priority Review Voucher in accordance with its terms and applicable Legal Requirements.</w:t>
      </w:r>
    </w:p>
    <w:p>
      <w:pPr>
        <w:spacing w:after="0" w:line="185" w:lineRule="exact"/>
        <w:rPr>
          <w:rFonts w:ascii="Times New Roman" w:cs="Times New Roman" w:eastAsia="Times New Roman" w:hAnsi="Times New Roman"/>
          <w:sz w:val="18"/>
          <w:szCs w:val="18"/>
          <w:color w:val="auto"/>
        </w:rPr>
      </w:pPr>
    </w:p>
    <w:p>
      <w:pPr>
        <w:ind w:right="20" w:firstLine="642"/>
        <w:spacing w:after="0" w:line="274" w:lineRule="auto"/>
        <w:tabs>
          <w:tab w:leader="none" w:pos="10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Buyer and Seller agree to cooperate and assist each other with respect to all filings or notifications to any Governmental Entity related to the transfer and assignment of the Purchased Assets.</w:t>
      </w:r>
    </w:p>
    <w:p>
      <w:pPr>
        <w:spacing w:after="0" w:line="163" w:lineRule="exact"/>
        <w:rPr>
          <w:rFonts w:ascii="Times New Roman" w:cs="Times New Roman" w:eastAsia="Times New Roman" w:hAnsi="Times New Roman"/>
          <w:sz w:val="18"/>
          <w:szCs w:val="18"/>
          <w:color w:val="auto"/>
        </w:rPr>
      </w:pPr>
    </w:p>
    <w:p>
      <w:pPr>
        <w:jc w:val="both"/>
        <w:ind w:firstLine="642"/>
        <w:spacing w:after="0" w:line="214" w:lineRule="exact"/>
        <w:tabs>
          <w:tab w:leader="none" w:pos="10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Seller and Zevra DN each (i) acknowledges and agrees that Zevra DN previously transferred to Seller all of its right, title and interest in and to the Purchased Assets as evidenced by the Bill of Sale between Zevra DN and Seller, dated as of November 10, 2024, and (ii) further agrees that, from and after the Effective Date (and continuing following the Closing), shall cooperate reasonably with each other and with Buyer with respect to all filings or notifications to the FDA related to the transfer and assignment of the Purchased Assets (whether pursuant to such Bill of Sale or the Asset Purchase hereunder), and shall (A) furnish upon request to each other such further information, (B) execute and deliver to each other such other documents, and (C) do such other acts and things, all as Buyer or such other Person may reasonably request for the purpose of carrying out the intent of this Agreement and the transactions contemplated by this Agreement (including with respect to the submission to the FDA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Closing PRV Notice if Buyer so elects pursuant to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including the use by Buyer, its Affiliates or their respective successors and assigns of the Priority Review Voucher in accordance with its terms and applicable Legal Requirements.</w:t>
      </w:r>
    </w:p>
    <w:p>
      <w:pPr>
        <w:spacing w:after="0" w:line="19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Following the Effective Time, Seller shall, and shall cause its Affiliates and each of their respective successors in interest and assigns to the product approved under the Subject NDA to, at all times comply with all Legal Requirements applicable to the Purchased Assets, including any and all Legal Requirements applicable to the validity, use or transfer of the Priority Review Voucher. Seller shall promptly forward to Buyer any communications or notices it or its Affiliates receive from any Governmental Entity in respect of or otherwise impacting the Purchased Assets.</w:t>
      </w:r>
    </w:p>
    <w:p>
      <w:pPr>
        <w:spacing w:after="0" w:line="185" w:lineRule="exact"/>
        <w:rPr>
          <w:sz w:val="20"/>
          <w:szCs w:val="20"/>
          <w:color w:val="auto"/>
        </w:rPr>
      </w:pPr>
    </w:p>
    <w:p>
      <w:pPr>
        <w:jc w:val="both"/>
        <w:ind w:firstLine="636"/>
        <w:spacing w:after="0" w:line="217" w:lineRule="exact"/>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Marketing</w:t>
      </w:r>
      <w:r>
        <w:rPr>
          <w:rFonts w:ascii="Times New Roman" w:cs="Times New Roman" w:eastAsia="Times New Roman" w:hAnsi="Times New Roman"/>
          <w:sz w:val="18"/>
          <w:szCs w:val="18"/>
          <w:color w:val="auto"/>
        </w:rPr>
        <w:t>. Seller shall, and shall cause its Affiliates and each of their respective successors in interest and assigns to, within the three hundred and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(365) day period beginning on the date of the FDA approval of the Subject NDA, market in the United States the product approved under the Subject NDA to the extent and in a manner required under applicable Legal Requirements to preclude the FDA from exercising its authority to revoke the Priority Review Voucher pursuant to Section 529(e)(1) of the FDCA.</w:t>
      </w:r>
    </w:p>
    <w:p>
      <w:pPr>
        <w:spacing w:after="0" w:line="194"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7"/>
          <w:szCs w:val="17"/>
          <w:u w:val="single" w:color="auto"/>
          <w:color w:val="auto"/>
        </w:rPr>
        <w:t>Nondisclosure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42"/>
        <w:spacing w:after="0" w:line="255" w:lineRule="auto"/>
        <w:tabs>
          <w:tab w:leader="none" w:pos="10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disclosures permitted or contemplated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with respect to Confidential Information received from a Party, the other Party will (i) keep such Confidential Information confidential, (ii) not use any such Confidential Information for any reason other than to carry out the intent and purpose of this Agreement, and (iii) not disclose any such Confidential Information to any Person, except in each case as otherwise expressly permitted by this Agreement or with the prior written consent of the disclosing Party.</w:t>
      </w:r>
    </w:p>
    <w:p>
      <w:pPr>
        <w:spacing w:after="0" w:line="141" w:lineRule="exact"/>
        <w:rPr>
          <w:rFonts w:ascii="Times New Roman" w:cs="Times New Roman" w:eastAsia="Times New Roman" w:hAnsi="Times New Roman"/>
          <w:sz w:val="18"/>
          <w:szCs w:val="18"/>
          <w:color w:val="auto"/>
        </w:rPr>
      </w:pPr>
    </w:p>
    <w:p>
      <w:pPr>
        <w:ind w:left="1020" w:hanging="378"/>
        <w:spacing w:after="0" w:line="207" w:lineRule="exact"/>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disclose Confidential Information of the other Party only to its Representatives on a need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know basis.</w:t>
      </w:r>
    </w:p>
    <w:p>
      <w:pPr>
        <w:spacing w:after="0" w:line="255" w:lineRule="exact"/>
        <w:rPr>
          <w:rFonts w:ascii="Times New Roman" w:cs="Times New Roman" w:eastAsia="Times New Roman" w:hAnsi="Times New Roman"/>
          <w:sz w:val="18"/>
          <w:szCs w:val="18"/>
          <w:color w:val="auto"/>
        </w:rPr>
      </w:pPr>
    </w:p>
    <w:p>
      <w:pPr>
        <w:jc w:val="both"/>
        <w:ind w:firstLine="642"/>
        <w:spacing w:after="0" w:line="259" w:lineRule="auto"/>
        <w:tabs>
          <w:tab w:leader="none" w:pos="10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will (i) enforce the terms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as to its Representatives, (ii) take such action to the extent necessary to cause its Representatives to comply with the terms and conditions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(iii) be responsible and liable for any breach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by it or its Representatives.</w:t>
      </w:r>
    </w:p>
    <w:p>
      <w:pPr>
        <w:spacing w:after="0" w:line="177" w:lineRule="exact"/>
        <w:rPr>
          <w:rFonts w:ascii="Times New Roman" w:cs="Times New Roman" w:eastAsia="Times New Roman" w:hAnsi="Times New Roman"/>
          <w:sz w:val="18"/>
          <w:szCs w:val="18"/>
          <w:color w:val="auto"/>
        </w:rPr>
      </w:pPr>
    </w:p>
    <w:p>
      <w:pPr>
        <w:jc w:val="both"/>
        <w:ind w:firstLine="642"/>
        <w:spacing w:after="0" w:line="250" w:lineRule="auto"/>
        <w:tabs>
          <w:tab w:leader="none" w:pos="11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Party becomes compelled by a court or is requested by a Governmental Entity to make any disclosure that is prohibited or otherwise constrained by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such Party shall provide the disclosing Party with prompt notice of such compulsion or request so that it may seek an appropriate protective order or other appropriate remedy or waive compliance with the provisions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In the absence of a protective order or other remedy, the Party subject to the requirement to disclose may disclose that portion (and only that portion) of the Confidential Information that, based upon advice of its counsel, it is legally compelled to disclose or that has been requested by such Governmental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Party shall use reasonable efforts to obtain reliable assurance that confidential treatment will be accorded by any Person to whom any Confidential Information is so disclosed.</w:t>
      </w:r>
    </w:p>
    <w:p>
      <w:pPr>
        <w:spacing w:after="0" w:line="186" w:lineRule="exact"/>
        <w:rPr>
          <w:rFonts w:ascii="Times New Roman" w:cs="Times New Roman" w:eastAsia="Times New Roman" w:hAnsi="Times New Roman"/>
          <w:sz w:val="18"/>
          <w:szCs w:val="18"/>
          <w:color w:val="auto"/>
        </w:rPr>
      </w:pPr>
    </w:p>
    <w:p>
      <w:pPr>
        <w:jc w:val="both"/>
        <w:ind w:firstLine="642"/>
        <w:spacing w:after="0" w:line="255" w:lineRule="auto"/>
        <w:tabs>
          <w:tab w:leader="none" w:pos="10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herein shall prohibit or otherwise restrict the disclosure of any Confidential Information by or on behalf of Buyer or its Affiliates to the FDA or other Governmental Entity to the extent required by the FDA or such other Governmental Entity to enable the use or transfer of the Priority Review Voucher;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its Affiliates and their respective Representatives shall use commercially reasonable efforts to obtain confidential treatment for any such disclosures.</w:t>
      </w:r>
    </w:p>
    <w:p>
      <w:pPr>
        <w:sectPr>
          <w:pgSz w:w="11900" w:h="16916" w:orient="portrait"/>
          <w:cols w:equalWidth="0" w:num="1">
            <w:col w:w="11240"/>
          </w:cols>
          <w:pgMar w:left="320" w:top="572" w:right="339" w:bottom="0" w:gutter="0" w:footer="0" w:header="0"/>
        </w:sectPr>
      </w:pPr>
    </w:p>
    <w:bookmarkStart w:id="60" w:name="page61"/>
    <w:bookmarkEnd w:id="60"/>
    <w:p>
      <w:pPr>
        <w:jc w:val="both"/>
        <w:spacing w:after="0" w:line="255" w:lineRule="auto"/>
        <w:tabs>
          <w:tab w:leader="none" w:pos="101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442595</wp:posOffset>
            </wp:positionV>
            <wp:extent cx="713486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both"/>
        <w:ind w:firstLine="636"/>
        <w:spacing w:after="0" w:line="214" w:lineRule="exact"/>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Disclosures Concerning this Agreement</w:t>
      </w:r>
      <w:r>
        <w:rPr>
          <w:rFonts w:ascii="Times New Roman" w:cs="Times New Roman" w:eastAsia="Times New Roman" w:hAnsi="Times New Roman"/>
          <w:sz w:val="18"/>
          <w:szCs w:val="18"/>
          <w:color w:val="auto"/>
        </w:rPr>
        <w:t xml:space="preserve">. The press release with respect to the execution of this Agreement that is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shall be issued by Seller on or on the next Business Day following the Effective Date. Buyer and Seller agree not to (and to ensure that their respective Affiliates do not) issue any other press releases or public announcements concerning this Agreement, or that identifies the other Party as party to this Agreement or the acquiror of the Priority Review Voucher, without the prior written consent of the other Party (which consent shall not be unreasonably withheld, conditioned or delayed), except as required by a Governmental Entity or applicable Legal Requirement (including the rules and regulations of any stock exchange or trading market on which a Party’s (or its parent entity’s) securities are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intending to disclose such information shall use reasonable efforts to provide the other Party with advance notice of such required disclosure, and an opportunity to review and comment on such proposed disclosure (which comments shall be considered in good faith by the disclosing Party). Notwithstanding the foregoing, without prior submission to or approval of the other Party, either Party may issue press releases or public announcements which incorporate only such information concerning this Agreement as was included in a press release or public disclosure which was previously disclosed under the terms of this Agreement or which contains only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material factual information regarding this Agreement. Each Party acknowledges that the other Party, or the other Party’s parent entity, as a publicly traded company is legally obligated to make timely disclosures of material events relating to its business. The Parties acknowledge that either or both Parties may be obligated to file a copy of this Agreement with the United States Securities and Exchange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Party is obligated to so file a copy of this Agreement, such Party shall prepare a proposed redacted version thereof and request confidential treatment thereof, and the other Party may promptly provide its comments and additional proposed redactions, if any, thereon, which comments and proposed redactions, if any, shall be considered in good faith by the Party required to so file a copy of this Agreement.</w:t>
      </w:r>
    </w:p>
    <w:p>
      <w:pPr>
        <w:spacing w:after="0" w:line="19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Whether or not the Asset Purchase and the other transactions contemplated by this Agreement are consummated, and except as otherwise expressly set forth in this Agreement, each of the Parties shall bear its own fees and expenses incurred or owed in connection with the purchase and sale of the Purchased Assets, this Agreement and the transactions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 xml:space="preserve">Section 11.01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The representations and warranties of Seller and Buyer contained in this Agreement, and liability for the breach thereof, shall survive the Closing and shall remain in full force and effect for a period of eighteen (18) months following the Closing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 all covenants that by their terms was to be performed at or prior to the Closing and all Fundamental Representations and any claims for Fraud shall survive the Closing Date and remain in full force and effect until the later of (i) the date that is six (6) years after the Closing Date, and (ii) the expiration of the applicable statute of limitations, and (b) covenants which are by their terms to be performed following the Closing shall survive the Closing and remain in full force and effect until performed in accordance with their terms. Notwithstanding the foregoing, if written notice of a claim has been given in the manner required by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prior to the expiration of the applicable survival period by the Party seeking indemnification for such claim, then the relevant covenants, representations and warranties of the other Party shall survive as to such claim until such claim has been finally resolved pursuant to Article VIII.</w:t>
      </w:r>
    </w:p>
    <w:p>
      <w:pPr>
        <w:spacing w:after="0" w:line="13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Section 11.02 </w:t>
      </w:r>
      <w:r>
        <w:rPr>
          <w:rFonts w:ascii="Times New Roman" w:cs="Times New Roman" w:eastAsia="Times New Roman" w:hAnsi="Times New Roman"/>
          <w:sz w:val="17"/>
          <w:szCs w:val="17"/>
          <w:u w:val="single" w:color="auto"/>
          <w:color w:val="auto"/>
        </w:rPr>
        <w:t>Transfer Taxes and Fees</w:t>
      </w:r>
      <w:r>
        <w:rPr>
          <w:rFonts w:ascii="Times New Roman" w:cs="Times New Roman" w:eastAsia="Times New Roman" w:hAnsi="Times New Roman"/>
          <w:sz w:val="17"/>
          <w:szCs w:val="17"/>
          <w:color w:val="auto"/>
        </w:rPr>
        <w:t>. Any and all sales, excise, use, value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added and similar taxes, fees or duties assessed or incurred by reason of the sale by Seller and the purchase by Buyer of the Purchased Assets hereunder (“</w:t>
      </w:r>
      <w:r>
        <w:rPr>
          <w:rFonts w:ascii="Times New Roman" w:cs="Times New Roman" w:eastAsia="Times New Roman" w:hAnsi="Times New Roman"/>
          <w:sz w:val="17"/>
          <w:szCs w:val="17"/>
          <w:b w:val="1"/>
          <w:bCs w:val="1"/>
          <w:i w:val="1"/>
          <w:iCs w:val="1"/>
          <w:color w:val="auto"/>
        </w:rPr>
        <w:t>Transfer Taxes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be borne fifty percent (50%) by Buyer on the one hand, and fifty percent (50%) by Seller on the other hand, regardless of which Party such taxes, fees or duties are assessed against. The party that is primarily responsible for the filing of any Tax return or other documentation with respect to Transfer Taxes shall promptly prepare and file such Tax return or documentation, as applicable, and the other party shall provide such cooperation in connection therewith as may be reasonably requested by the filing party. Buyer, its Affiliates, or any Buyer transferee of the Priority Review Voucher shall be solely responsible for the payment of the priority review fee described in 21 U.S.C. § 360ff(c) (the “</w:t>
      </w:r>
      <w:r>
        <w:rPr>
          <w:rFonts w:ascii="Times New Roman" w:cs="Times New Roman" w:eastAsia="Times New Roman" w:hAnsi="Times New Roman"/>
          <w:sz w:val="17"/>
          <w:szCs w:val="17"/>
          <w:b w:val="1"/>
          <w:bCs w:val="1"/>
          <w:i w:val="1"/>
          <w:iCs w:val="1"/>
          <w:color w:val="auto"/>
        </w:rPr>
        <w:t>Priority Review Fee</w:t>
      </w:r>
      <w:r>
        <w:rPr>
          <w:rFonts w:ascii="Times New Roman" w:cs="Times New Roman" w:eastAsia="Times New Roman" w:hAnsi="Times New Roman"/>
          <w:sz w:val="17"/>
          <w:szCs w:val="17"/>
          <w:color w:val="auto"/>
        </w:rPr>
        <w:t>”) and all other user fees applicable to the human drug application for which the Priority Review Voucher is redeemed, following the Closing. For the avoidance of doubt, following the Closing, Seller shall have no liability or obligation for any such fees.</w:t>
      </w:r>
    </w:p>
    <w:p>
      <w:pPr>
        <w:spacing w:after="0" w:line="194" w:lineRule="exact"/>
        <w:rPr>
          <w:sz w:val="20"/>
          <w:szCs w:val="20"/>
          <w:color w:val="auto"/>
        </w:rPr>
      </w:pPr>
    </w:p>
    <w:p>
      <w:pPr>
        <w:jc w:val="both"/>
        <w:ind w:firstLine="636"/>
        <w:spacing w:after="0" w:line="215" w:lineRule="exact"/>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delivered to any Party shall be in writing and shall be deemed properly delivered, given and received: (a) when delivered by hand; (b) on the date sent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of a PDF document (with confirmation of transmission) if sent prior to 5:00 p.m. in the time zone of the intended recipient on a Business Day, and otherwise on the next Business Day or (c) upon such Party’s receipt after being sent by registered mail, by courier or express delivery service; or (d) upon confirmation of receipt during normal business hours on a Business Day or, if received after normal business hours, on the next Business Day, after being sent by facsimile, in any case to the address or facsimile number set forth beneath the name of such Party below (or to such other address as such Party shall have specified in a written notice given to the other Party in accordance with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Buyer, to:</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Stephen A. Infante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713486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62" w:name="page63"/>
    <w:bookmarkEnd w:id="62"/>
    <w:p>
      <w:pPr>
        <w:ind w:left="640"/>
        <w:spacing w:after="0"/>
        <w:tabs>
          <w:tab w:leader="none" w:pos="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if to Seller, to:</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Zevra Therapeutics, Inc.</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1180 Celebration Blvd., Suite 103</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Celebration, FL 34747</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Andrew Clark</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198"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642"/>
        <w:spacing w:after="0" w:line="274" w:lineRule="auto"/>
        <w:tabs>
          <w:tab w:leader="none" w:pos="10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63" w:lineRule="exact"/>
        <w:rPr>
          <w:rFonts w:ascii="Times New Roman" w:cs="Times New Roman" w:eastAsia="Times New Roman" w:hAnsi="Times New Roman"/>
          <w:sz w:val="18"/>
          <w:szCs w:val="18"/>
          <w:color w:val="auto"/>
        </w:rPr>
      </w:pPr>
    </w:p>
    <w:p>
      <w:pPr>
        <w:jc w:val="both"/>
        <w:ind w:firstLine="642"/>
        <w:spacing w:after="0" w:line="255"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 and the word “or” is not intended to be exclusive unless expressly indicated otherwise. The words “will” and “shall” have the same meaning. “Extent” in the phrase “to the extent” means the degree to which a subject or other thing extends, and such phrase does not mean simply “if.”</w:t>
      </w:r>
    </w:p>
    <w:p>
      <w:pPr>
        <w:spacing w:after="0" w:line="180" w:lineRule="exact"/>
        <w:rPr>
          <w:rFonts w:ascii="Times New Roman" w:cs="Times New Roman" w:eastAsia="Times New Roman" w:hAnsi="Times New Roman"/>
          <w:sz w:val="18"/>
          <w:szCs w:val="18"/>
          <w:color w:val="auto"/>
        </w:rPr>
      </w:pPr>
    </w:p>
    <w:p>
      <w:pPr>
        <w:jc w:val="both"/>
        <w:ind w:firstLine="642"/>
        <w:spacing w:after="0" w:line="255" w:lineRule="auto"/>
        <w:tabs>
          <w:tab w:leader="none" w:pos="101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like import used in this Agreement shall refer to this Agreement as a whole and not to any particular provision of this Agreement. Except as otherwise indicated, (i) all references in this Agreement to “Articles,” “Sections,” “Schedules” or “Exhibits” are intended to refer to Articles, Sections, Schedules or Exhibits of this Agreement, and (ii) references in any Section to any clause are references to such clause of such Section.</w:t>
      </w:r>
    </w:p>
    <w:p>
      <w:pPr>
        <w:spacing w:after="0" w:line="180" w:lineRule="exact"/>
        <w:rPr>
          <w:rFonts w:ascii="Times New Roman" w:cs="Times New Roman" w:eastAsia="Times New Roman" w:hAnsi="Times New Roman"/>
          <w:sz w:val="18"/>
          <w:szCs w:val="18"/>
          <w:color w:val="auto"/>
        </w:rPr>
      </w:pPr>
    </w:p>
    <w:p>
      <w:pPr>
        <w:ind w:right="20" w:firstLine="642"/>
        <w:spacing w:after="0" w:line="274" w:lineRule="auto"/>
        <w:tabs>
          <w:tab w:leader="none" w:pos="10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context otherwise requires, wherever used, the singular shall include the plural, the plural the singular, the use of any gender shall be applicable to all genders and the word “or” is used in the inclusive sense (and/or).</w:t>
      </w:r>
    </w:p>
    <w:p>
      <w:pPr>
        <w:spacing w:after="0" w:line="163"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unless otherwise specified, such number refers to calendar days.</w:t>
      </w:r>
    </w:p>
    <w:p>
      <w:pPr>
        <w:spacing w:after="0" w:line="217" w:lineRule="exact"/>
        <w:rPr>
          <w:rFonts w:ascii="Times New Roman" w:cs="Times New Roman" w:eastAsia="Times New Roman" w:hAnsi="Times New Roman"/>
          <w:sz w:val="18"/>
          <w:szCs w:val="18"/>
          <w:color w:val="auto"/>
        </w:rPr>
      </w:pPr>
    </w:p>
    <w:p>
      <w:pPr>
        <w:ind w:firstLine="642"/>
        <w:spacing w:after="0" w:line="274" w:lineRule="auto"/>
        <w:tabs>
          <w:tab w:leader="none" w:pos="10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table of contents and headings in this Agreement are for convenience of reference only and in no way define, describe, extend, or limit the scope or intent of this Agreement or the intent of any provision contained in this Agreement.</w:t>
      </w:r>
    </w:p>
    <w:p>
      <w:pPr>
        <w:spacing w:after="0" w:line="163" w:lineRule="exact"/>
        <w:rPr>
          <w:rFonts w:ascii="Times New Roman" w:cs="Times New Roman" w:eastAsia="Times New Roman" w:hAnsi="Times New Roman"/>
          <w:sz w:val="18"/>
          <w:szCs w:val="18"/>
          <w:color w:val="auto"/>
        </w:rPr>
      </w:pPr>
    </w:p>
    <w:p>
      <w:pPr>
        <w:jc w:val="both"/>
        <w:ind w:firstLine="642"/>
        <w:spacing w:after="0" w:line="255" w:lineRule="auto"/>
        <w:tabs>
          <w:tab w:leader="none" w:pos="10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 references to any applicable law or other Legal Requirement shall be deemed to refer to such law or Legal Requirement as amended from time to time and to any rules, regulations or interpretations promulgated thereunder and (ii) references to any agreement or Contract are to that agreement or Contract as amended, modified, supplemented, extended or renewed from time to time in accordance with the terms hereof and thereof.</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all of which shall be considered one and the same instrument,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or facsimile shall be sufficient to bind the Parties to the terms and conditions of this Agreement.</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exhibits and schedules attached hereto and the Confidentiality Agreement by and between the Parties (or, in the case of Buyer, its Affiliate), dated January 29, 2025, sets forth the entire understanding of the Parties relating to the subject matter hereof and supersedes all prior agreements and understandings among or between the Parties relating to the subject matter hereof.</w:t>
      </w:r>
    </w:p>
    <w:p>
      <w:pPr>
        <w:spacing w:after="0" w:line="17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 xml:space="preserve">Section 11.07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No Party will have the right to assign this Agreement, in whole or in part, by operation of law or otherwise, without the other Party’s express prior written consent. Any attempt to assign this Agreement without such consent, will be null and void. Notwithstanding the foregoing, any Party may assign this Agreement, in whole or in part, without the consent of the other Party: (a) to a Third Party that succeeds to all or substantially all of its assets or business related to this Agreement (whether by sale, merger, operation of law or otherwise); or (b) to an Affiliate of such Party. Notwithstanding the foregoing, Buyer may assign this Agreement, in whole or in part, without Seller’s consent, to any purchaser, transferee, or assignee of any of the Purchased Assets. For the avoidance of doubt, no assignment made pursuant to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shall relieve the assigning Party of any of its obligations under this Agreement. Subject to the foregoing, this Agreement will bind and inure to the benefit of each Party’s successors and permitted assigns.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The Parties shall use commercially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347980</wp:posOffset>
            </wp:positionV>
            <wp:extent cx="7134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63" w:name="page64"/>
    <w:bookmarkEnd w:id="63"/>
    <w:p>
      <w:pPr>
        <w:jc w:val="both"/>
        <w:ind w:firstLine="636"/>
        <w:spacing w:after="0" w:line="214" w:lineRule="exact"/>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and nothing in this Agreement shall be deemed a waiver by any Party of any right to specific performance or injunctive relief. The Parties agree that irreparable harm would occur in the event that the transactions contemplated hereby are not consummated in accordance with the terms of this Agreement, and that money damages or other legal remedies would not be an adequate remedy for any such harm. Accordingly, the Parties acknowledge and hereby covenant and agree that in the event of any breach or threatened breach of the covenants, agreements, or obligations set forth in this Agreement, then in addition to any other remedy available at law or in equity,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breaching Party will be entitled to seek an injunction or injunctions to prevent or restrain any breaches or threatened breaches of this Agreement, and to specifically enforce the terms and provisions of this Agreement to enforce compliance with the covenants, agreements, and obligations under this Agreement. Each Party hereby covenants and agrees not to raise, and irrevocably waives, any objections to the availability of such relief that a remedy at law would be adequate and that a bond or other security will be required.</w:t>
      </w:r>
    </w:p>
    <w:p>
      <w:pPr>
        <w:spacing w:after="0" w:line="20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Delaware, regardless of the laws that might otherwise govern under applicable principles of conflicts of law. The Parties irrevocably and unconditionally submit to the exclusive jurisdiction of the state and federal courts in Delaware solely and specifically for the purposes of any action or proceeding arising out of or in connection with this Agreement.</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THE EXTENT PERMITTED BY LAW, KNOWINGLY, VOLUNTARILY, AND INTENTIONALLY WAIVES ITS RIGHT TO A TRIAL BY JURY IN ANY ACTION OR OTHER LEGAL PROCEEDING ARISING OUT OF OR RELATING TO THIS AGREEMENT AND THE TRANSACTIONS IT CONTEMPLATES. THIS WAIVER APPLIES TO ANY ACTION OR LEGAL PROCEEDING, WHETHER SOUNDING IN CONTRACT, TORT, OR OTHERWISE.</w:t>
      </w:r>
    </w:p>
    <w:p>
      <w:pPr>
        <w:spacing w:after="0" w:line="18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 xml:space="preserve">Section 11.12 </w:t>
      </w:r>
      <w:r>
        <w:rPr>
          <w:rFonts w:ascii="Times New Roman" w:cs="Times New Roman" w:eastAsia="Times New Roman" w:hAnsi="Times New Roman"/>
          <w:sz w:val="17"/>
          <w:szCs w:val="17"/>
          <w:u w:val="single" w:color="auto"/>
          <w:color w:val="auto"/>
        </w:rPr>
        <w:t>Amendment; Extension; Waiver</w:t>
      </w:r>
      <w:r>
        <w:rPr>
          <w:rFonts w:ascii="Times New Roman" w:cs="Times New Roman" w:eastAsia="Times New Roman" w:hAnsi="Times New Roman"/>
          <w:sz w:val="17"/>
          <w:szCs w:val="17"/>
          <w:color w:val="auto"/>
        </w:rPr>
        <w:t>. Subject to the provisions of applicable Legal Requirements, the Parties may amend this Agreement at any time pursuant to an instrument in writing signed on behalf of each of the Parties. At any time, any Party may, to the extent legally allowed, (a) extend the time for the performance of any of the obligations or other acts of the other Party, (b) waive any inaccuracies in the representations and warranties made to such Party contained herein or (c) waive compliance with any of the agreements or conditions for the benefit of such Party contained herein. Any agreement on the part of a Party to any such extension or waiver shall be valid only if set forth in an instrument in writing signed on behalf of such Party.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w:t>
      </w:r>
    </w:p>
    <w:p>
      <w:pPr>
        <w:spacing w:after="0" w:line="17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Representation By Counsel; Interpretation</w:t>
      </w:r>
      <w:r>
        <w:rPr>
          <w:rFonts w:ascii="Times New Roman" w:cs="Times New Roman" w:eastAsia="Times New Roman" w:hAnsi="Times New Roman"/>
          <w:sz w:val="18"/>
          <w:szCs w:val="18"/>
          <w:color w:val="auto"/>
        </w:rPr>
        <w:t>. Seller and Buyer each acknowledge that it has been represented by its own legal counsel in connection with this Agreement and the transactions contemplated by this Agreement. Accordingly, any rule of law, or any legal decision that would require interpretation of any claimed ambiguities in this Agreement against the Party that drafted it, has no application and is expressly waived.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369570</wp:posOffset>
            </wp:positionV>
            <wp:extent cx="713486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on behalf of each of the parties hereto as of the date first above written.</w:t>
      </w:r>
    </w:p>
    <w:p>
      <w:pPr>
        <w:spacing w:after="0" w:line="2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-9525</wp:posOffset>
            </wp:positionV>
            <wp:extent cx="252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52095" cy="8255"/>
                    </a:xfrm>
                    <a:prstGeom prst="rect">
                      <a:avLst/>
                    </a:prstGeom>
                    <a:noFill/>
                  </pic:spPr>
                </pic:pic>
              </a:graphicData>
            </a:graphic>
          </wp:anchor>
        </w:drawing>
      </w:r>
    </w:p>
    <w:p>
      <w:pPr>
        <w:spacing w:after="0" w:line="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-22225</wp:posOffset>
            </wp:positionV>
            <wp:extent cx="252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52095" cy="8255"/>
                    </a:xfrm>
                    <a:prstGeom prst="rect">
                      <a:avLst/>
                    </a:prstGeom>
                    <a:noFill/>
                  </pic:spPr>
                </pic:pic>
              </a:graphicData>
            </a:graphic>
          </wp:anchor>
        </w:drawing>
      </w:r>
    </w:p>
    <w:p>
      <w:pPr>
        <w:ind w:left="3180"/>
        <w:spacing w:after="0" w:line="251" w:lineRule="auto"/>
        <w:rPr>
          <w:sz w:val="20"/>
          <w:szCs w:val="20"/>
          <w:color w:val="auto"/>
        </w:rPr>
      </w:pPr>
      <w:r>
        <w:rPr>
          <w:rFonts w:ascii="Times New Roman" w:cs="Times New Roman" w:eastAsia="Times New Roman" w:hAnsi="Times New Roman"/>
          <w:sz w:val="18"/>
          <w:szCs w:val="18"/>
          <w:color w:val="auto"/>
        </w:rPr>
        <w:t>Title: [***]IN WITNESS WHEREOF, this Agreement has been executed on behalf of each of the parties hereto as of the date first above written.</w:t>
      </w:r>
    </w:p>
    <w:p>
      <w:pPr>
        <w:spacing w:after="0" w:line="18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By: /s/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-9525</wp:posOffset>
            </wp:positionV>
            <wp:extent cx="1202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2347595</wp:posOffset>
            </wp:positionH>
            <wp:positionV relativeFrom="paragraph">
              <wp:posOffset>-22225</wp:posOffset>
            </wp:positionV>
            <wp:extent cx="10687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31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356235</wp:posOffset>
            </wp:positionV>
            <wp:extent cx="7134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600"/>
          </w:cols>
          <w:pgMar w:left="960" w:top="57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IN WITNESS WHEREOF, this Agreement has been executed on behalf of each of the parties hereto as of the date first above written.</w:t>
      </w:r>
    </w:p>
    <w:p>
      <w:pPr>
        <w:sectPr>
          <w:pgSz w:w="11900" w:h="16838" w:orient="portrait"/>
          <w:cols w:equalWidth="0" w:num="1">
            <w:col w:w="9499"/>
          </w:cols>
          <w:pgMar w:left="960" w:top="572" w:right="1440" w:bottom="1440" w:gutter="0" w:footer="0" w:header="0"/>
        </w:sectPr>
      </w:pPr>
    </w:p>
    <w:p>
      <w:pPr>
        <w:spacing w:after="0" w:line="2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SOLELY WITH RESPECT TO SECTION 10.01(c):</w:t>
      </w:r>
    </w:p>
    <w:p>
      <w:pPr>
        <w:spacing w:after="0" w:line="2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ZEVRA DENMARK A/S</w:t>
      </w:r>
    </w:p>
    <w:p>
      <w:pPr>
        <w:spacing w:after="0" w:line="2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By: /s/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-9525</wp:posOffset>
            </wp:positionV>
            <wp:extent cx="12738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R. LaDuane Clifton</w:t>
      </w: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356235</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499"/>
          </w:cols>
          <w:pgMar w:left="960" w:top="572" w:right="1440" w:bottom="1440" w:gutter="0" w:footer="0" w:header="0"/>
          <w:type w:val="continuous"/>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APPROVAL LETTER</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BILL OF SALE</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Priority Review Voucher Transfer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SELLER</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S TRANSFER ACKNOWLEDGMENT LETTER</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782"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BUYER</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S TRANSFER ACKNOWLEDGMENT LETTER</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180"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b w:val="1"/>
          <w:bCs w:val="1"/>
          <w:u w:val="single" w:color="auto"/>
          <w:color w:val="auto"/>
        </w:rPr>
        <w:t>PRE</w:t>
      </w:r>
      <w:r>
        <w:rPr>
          <w:rFonts w:ascii="MS PGothic" w:cs="MS PGothic" w:eastAsia="MS PGothic" w:hAnsi="MS PGothic"/>
          <w:sz w:val="17"/>
          <w:szCs w:val="17"/>
          <w:u w:val="single" w:color="auto"/>
          <w:color w:val="auto"/>
        </w:rPr>
        <w:t>‑</w:t>
      </w:r>
      <w:r>
        <w:rPr>
          <w:rFonts w:ascii="Times New Roman" w:cs="Times New Roman" w:eastAsia="Times New Roman" w:hAnsi="Times New Roman"/>
          <w:sz w:val="17"/>
          <w:szCs w:val="17"/>
          <w:b w:val="1"/>
          <w:bCs w:val="1"/>
          <w:u w:val="single" w:color="auto"/>
          <w:color w:val="auto"/>
        </w:rPr>
        <w:t>CLOSING PRV NOTICE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180"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b w:val="1"/>
          <w:bCs w:val="1"/>
          <w:u w:val="single" w:color="auto"/>
          <w:color w:val="auto"/>
        </w:rPr>
        <w:t>Seller</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s Pre</w:t>
      </w:r>
      <w:r>
        <w:rPr>
          <w:rFonts w:ascii="MS PGothic" w:cs="MS PGothic" w:eastAsia="MS PGothic" w:hAnsi="MS PGothic"/>
          <w:sz w:val="17"/>
          <w:szCs w:val="17"/>
          <w:u w:val="single" w:color="auto"/>
          <w:color w:val="auto"/>
        </w:rPr>
        <w:t>‑</w:t>
      </w:r>
      <w:r>
        <w:rPr>
          <w:rFonts w:ascii="Times New Roman" w:cs="Times New Roman" w:eastAsia="Times New Roman" w:hAnsi="Times New Roman"/>
          <w:sz w:val="17"/>
          <w:szCs w:val="17"/>
          <w:b w:val="1"/>
          <w:bCs w:val="1"/>
          <w:u w:val="single" w:color="auto"/>
          <w:color w:val="auto"/>
        </w:rPr>
        <w:t>Closing FDA Letter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Schedule 4.05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Title to Purchased Assets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368300</wp:posOffset>
            </wp:positionV>
            <wp:extent cx="7134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4.12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 Disclosure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570" w:right="1440" w:bottom="1440" w:gutter="0" w:footer="0" w:header="0"/>
        </w:sectPr>
      </w:pPr>
    </w:p>
    <w:bookmarkStart w:id="76" w:name="page77"/>
    <w:bookmarkEnd w:id="76"/>
    <w:p>
      <w:pPr>
        <w:ind w:left="103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Effective: February 15, 2025</w:t>
      </w:r>
    </w:p>
    <w:p>
      <w:pPr>
        <w:spacing w:after="0" w:line="1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Zevra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also an employee of the Company or an subsidiary of the Company shall be entitled to the following compensation for service on the Board and its committees: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Cash Compensation</w:t>
      </w:r>
    </w:p>
    <w:p>
      <w:pPr>
        <w:spacing w:after="0" w:line="217"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 xml:space="preserve">Cash compensation shall be paid in the following annual amounts. Payments shall be made in quarterly installments in arrears on the last day of each calendar quarter in which service occurred and shall be </w:t>
      </w:r>
      <w:r>
        <w:rPr>
          <w:rFonts w:ascii="Times New Roman" w:cs="Times New Roman" w:eastAsia="Times New Roman" w:hAnsi="Times New Roman"/>
          <w:sz w:val="18"/>
          <w:szCs w:val="18"/>
          <w:i w:val="1"/>
          <w:iCs w:val="1"/>
          <w:color w:val="auto"/>
        </w:rPr>
        <w:t>prorated</w:t>
      </w:r>
      <w:r>
        <w:rPr>
          <w:rFonts w:ascii="Times New Roman" w:cs="Times New Roman" w:eastAsia="Times New Roman" w:hAnsi="Times New Roman"/>
          <w:sz w:val="18"/>
          <w:szCs w:val="18"/>
          <w:color w:val="auto"/>
        </w:rPr>
        <w:t xml:space="preserve"> as appropriate for a director who does not serve for the full quarter. For the avoidance of doubt, the cash compensation set forth below shall apply for the entire quarter in which the policy becomes effective.</w:t>
      </w:r>
    </w:p>
    <w:p>
      <w:pPr>
        <w:spacing w:after="0" w:line="178" w:lineRule="exact"/>
        <w:rPr>
          <w:sz w:val="20"/>
          <w:szCs w:val="20"/>
          <w:color w:val="auto"/>
        </w:rPr>
      </w:pPr>
    </w:p>
    <w:p>
      <w:pPr>
        <w:ind w:left="980" w:hanging="318"/>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Service Retainer:</w:t>
      </w:r>
    </w:p>
    <w:p>
      <w:pPr>
        <w:spacing w:after="0" w:line="24" w:lineRule="exact"/>
        <w:rPr>
          <w:rFonts w:ascii="Times New Roman" w:cs="Times New Roman" w:eastAsia="Times New Roman" w:hAnsi="Times New Roman"/>
          <w:sz w:val="18"/>
          <w:szCs w:val="18"/>
          <w:color w:val="auto"/>
        </w:rPr>
      </w:pPr>
    </w:p>
    <w:p>
      <w:pPr>
        <w:ind w:left="1740" w:hanging="32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$45,000</w:t>
      </w:r>
    </w:p>
    <w:p>
      <w:pPr>
        <w:spacing w:after="0" w:line="5" w:lineRule="exact"/>
        <w:rPr>
          <w:rFonts w:ascii="Times New Roman" w:cs="Times New Roman" w:eastAsia="Times New Roman" w:hAnsi="Times New Roman"/>
          <w:sz w:val="18"/>
          <w:szCs w:val="18"/>
          <w:color w:val="auto"/>
        </w:rPr>
      </w:pPr>
    </w:p>
    <w:p>
      <w:pPr>
        <w:ind w:left="1720" w:right="220" w:hanging="316"/>
        <w:spacing w:after="0" w:line="245" w:lineRule="auto"/>
        <w:tabs>
          <w:tab w:leader="none" w:pos="17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 if not an employee (for the avoidance of doubt, in lieu of (and not in addition to the retainer for all non-employee directors)): $95,000</w:t>
      </w:r>
    </w:p>
    <w:p>
      <w:pPr>
        <w:spacing w:after="0" w:line="1" w:lineRule="exact"/>
        <w:rPr>
          <w:rFonts w:ascii="Times New Roman" w:cs="Times New Roman" w:eastAsia="Times New Roman" w:hAnsi="Times New Roman"/>
          <w:sz w:val="18"/>
          <w:szCs w:val="18"/>
          <w:color w:val="auto"/>
        </w:rPr>
      </w:pPr>
    </w:p>
    <w:p>
      <w:pPr>
        <w:ind w:left="1740" w:hanging="32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if any (in addition to the retainer for all non-employee directors): $15,000</w:t>
      </w:r>
    </w:p>
    <w:p>
      <w:pPr>
        <w:spacing w:after="0" w:line="5" w:lineRule="exact"/>
        <w:rPr>
          <w:rFonts w:ascii="Times New Roman" w:cs="Times New Roman" w:eastAsia="Times New Roman" w:hAnsi="Times New Roman"/>
          <w:sz w:val="18"/>
          <w:szCs w:val="18"/>
          <w:color w:val="auto"/>
        </w:rPr>
      </w:pPr>
    </w:p>
    <w:p>
      <w:pPr>
        <w:ind w:left="980" w:hanging="318"/>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Service Retainer:</w:t>
      </w:r>
    </w:p>
    <w:p>
      <w:pPr>
        <w:spacing w:after="0" w:line="5" w:lineRule="exact"/>
        <w:rPr>
          <w:rFonts w:ascii="Times New Roman" w:cs="Times New Roman" w:eastAsia="Times New Roman" w:hAnsi="Times New Roman"/>
          <w:sz w:val="18"/>
          <w:szCs w:val="18"/>
          <w:color w:val="auto"/>
        </w:rPr>
      </w:pPr>
    </w:p>
    <w:p>
      <w:pPr>
        <w:ind w:left="1740" w:hanging="32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w:t>
      </w:r>
    </w:p>
    <w:p>
      <w:pPr>
        <w:spacing w:after="0" w:line="5" w:lineRule="exact"/>
        <w:rPr>
          <w:rFonts w:ascii="Times New Roman" w:cs="Times New Roman" w:eastAsia="Times New Roman" w:hAnsi="Times New Roman"/>
          <w:sz w:val="18"/>
          <w:szCs w:val="18"/>
          <w:color w:val="auto"/>
        </w:rPr>
      </w:pPr>
    </w:p>
    <w:p>
      <w:pPr>
        <w:ind w:left="1720" w:hanging="316"/>
        <w:spacing w:after="0"/>
        <w:tabs>
          <w:tab w:leader="none" w:pos="17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$7,500</w:t>
      </w:r>
    </w:p>
    <w:p>
      <w:pPr>
        <w:spacing w:after="0" w:line="5" w:lineRule="exact"/>
        <w:rPr>
          <w:rFonts w:ascii="Times New Roman" w:cs="Times New Roman" w:eastAsia="Times New Roman" w:hAnsi="Times New Roman"/>
          <w:sz w:val="18"/>
          <w:szCs w:val="18"/>
          <w:color w:val="auto"/>
        </w:rPr>
      </w:pPr>
    </w:p>
    <w:p>
      <w:pPr>
        <w:ind w:left="1740" w:hanging="32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5" w:lineRule="exact"/>
        <w:rPr>
          <w:rFonts w:ascii="Times New Roman" w:cs="Times New Roman" w:eastAsia="Times New Roman" w:hAnsi="Times New Roman"/>
          <w:sz w:val="18"/>
          <w:szCs w:val="18"/>
          <w:color w:val="auto"/>
        </w:rPr>
      </w:pPr>
    </w:p>
    <w:p>
      <w:pPr>
        <w:ind w:left="980" w:right="460" w:hanging="318"/>
        <w:spacing w:after="0" w:line="245"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Service Retainer, which amounts are, for the avoidance of doubt, in lieu of (and not in addition to) the amounts set forth in Section 2 above:</w:t>
      </w:r>
    </w:p>
    <w:p>
      <w:pPr>
        <w:spacing w:after="0" w:line="1" w:lineRule="exact"/>
        <w:rPr>
          <w:rFonts w:ascii="Times New Roman" w:cs="Times New Roman" w:eastAsia="Times New Roman" w:hAnsi="Times New Roman"/>
          <w:sz w:val="18"/>
          <w:szCs w:val="18"/>
          <w:color w:val="auto"/>
        </w:rPr>
      </w:pPr>
    </w:p>
    <w:p>
      <w:pPr>
        <w:ind w:left="1740" w:hanging="32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$22,500</w:t>
      </w:r>
    </w:p>
    <w:p>
      <w:pPr>
        <w:spacing w:after="0" w:line="5" w:lineRule="exact"/>
        <w:rPr>
          <w:rFonts w:ascii="Times New Roman" w:cs="Times New Roman" w:eastAsia="Times New Roman" w:hAnsi="Times New Roman"/>
          <w:sz w:val="18"/>
          <w:szCs w:val="18"/>
          <w:color w:val="auto"/>
        </w:rPr>
      </w:pPr>
    </w:p>
    <w:p>
      <w:pPr>
        <w:ind w:left="1720" w:hanging="316"/>
        <w:spacing w:after="0"/>
        <w:tabs>
          <w:tab w:leader="none" w:pos="17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$15,000</w:t>
      </w:r>
    </w:p>
    <w:p>
      <w:pPr>
        <w:spacing w:after="0" w:line="5" w:lineRule="exact"/>
        <w:rPr>
          <w:rFonts w:ascii="Times New Roman" w:cs="Times New Roman" w:eastAsia="Times New Roman" w:hAnsi="Times New Roman"/>
          <w:sz w:val="18"/>
          <w:szCs w:val="18"/>
          <w:color w:val="auto"/>
        </w:rPr>
      </w:pPr>
    </w:p>
    <w:p>
      <w:pPr>
        <w:ind w:left="1740" w:hanging="32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$12,500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217" w:lineRule="exact"/>
        <w:rPr>
          <w:sz w:val="20"/>
          <w:szCs w:val="20"/>
          <w:color w:val="auto"/>
        </w:rPr>
      </w:pPr>
    </w:p>
    <w:p>
      <w:pPr>
        <w:jc w:val="both"/>
        <w:ind w:left="20" w:right="80"/>
        <w:spacing w:after="0" w:line="251" w:lineRule="auto"/>
        <w:rPr>
          <w:sz w:val="20"/>
          <w:szCs w:val="20"/>
          <w:color w:val="auto"/>
        </w:rPr>
      </w:pPr>
      <w:r>
        <w:rPr>
          <w:rFonts w:ascii="Times New Roman" w:cs="Times New Roman" w:eastAsia="Times New Roman" w:hAnsi="Times New Roman"/>
          <w:sz w:val="18"/>
          <w:szCs w:val="18"/>
          <w:color w:val="auto"/>
        </w:rPr>
        <w:t>The equity compensation set forth below will be granted under the Company’s 2014 Equity Incentive Plan, or, as the case may be, any successor equity incentive plan approved by the stockholders of the Company (in each case, as amended and/or restated,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Global Select Market on the date of grant or, if such grant date is not a trading date, on the last trading date prior to the grant date, and with a term of ten (10) years from the date of grant (subject to earlier termination in connection with a termination of service as provided in the Plan).</w:t>
      </w:r>
    </w:p>
    <w:p>
      <w:pPr>
        <w:spacing w:after="0" w:line="185" w:lineRule="exact"/>
        <w:rPr>
          <w:sz w:val="20"/>
          <w:szCs w:val="20"/>
          <w:color w:val="auto"/>
        </w:rPr>
      </w:pPr>
    </w:p>
    <w:p>
      <w:pPr>
        <w:jc w:val="both"/>
        <w:ind w:left="20" w:right="80"/>
        <w:spacing w:after="0" w:line="268" w:lineRule="auto"/>
        <w:rPr>
          <w:sz w:val="20"/>
          <w:szCs w:val="20"/>
          <w:color w:val="auto"/>
        </w:rPr>
      </w:pPr>
      <w:r>
        <w:rPr>
          <w:rFonts w:ascii="Times New Roman" w:cs="Times New Roman" w:eastAsia="Times New Roman" w:hAnsi="Times New Roman"/>
          <w:sz w:val="17"/>
          <w:szCs w:val="17"/>
          <w:color w:val="auto"/>
        </w:rPr>
        <w:t>Annual Grant: On the date of each annual stockholders meeting of the Company, each director who continues to serve as a non-employee member of the Board following such stockholders meeting will automatically, and without further action by the Board or the Compensation Committee of the Board, be granted a stock option for 30,000 shares of common stock (the “</w:t>
      </w:r>
      <w:r>
        <w:rPr>
          <w:rFonts w:ascii="Times New Roman" w:cs="Times New Roman" w:eastAsia="Times New Roman" w:hAnsi="Times New Roman"/>
          <w:sz w:val="17"/>
          <w:szCs w:val="17"/>
          <w:b w:val="1"/>
          <w:bCs w:val="1"/>
          <w:i w:val="1"/>
          <w:iCs w:val="1"/>
          <w:color w:val="auto"/>
        </w:rPr>
        <w:t>Annual Grant</w:t>
      </w:r>
      <w:r>
        <w:rPr>
          <w:rFonts w:ascii="Times New Roman" w:cs="Times New Roman" w:eastAsia="Times New Roman" w:hAnsi="Times New Roman"/>
          <w:sz w:val="17"/>
          <w:szCs w:val="17"/>
          <w:color w:val="auto"/>
        </w:rPr>
        <w:t>”). The stock options will vest and become exercisable in full on the earlier of</w:t>
      </w:r>
    </w:p>
    <w:p>
      <w:pPr>
        <w:spacing w:after="0" w:line="1" w:lineRule="exact"/>
        <w:rPr>
          <w:sz w:val="20"/>
          <w:szCs w:val="20"/>
          <w:color w:val="auto"/>
        </w:rPr>
      </w:pPr>
    </w:p>
    <w:p>
      <w:pPr>
        <w:ind w:left="20" w:right="80" w:firstLine="6"/>
        <w:spacing w:after="0" w:line="251" w:lineRule="auto"/>
        <w:tabs>
          <w:tab w:leader="none" w:pos="29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grant date, (2) the date that is one day prior to the first annual stockholders meeting occurring after the grant date or (3) immediately prior to a “Change in Control” as defined in the Plan, subject in each case to the director’s continued service on such vesting date.</w:t>
      </w:r>
    </w:p>
    <w:p>
      <w:pPr>
        <w:spacing w:after="0" w:line="184" w:lineRule="exact"/>
        <w:rPr>
          <w:sz w:val="20"/>
          <w:szCs w:val="20"/>
          <w:color w:val="auto"/>
        </w:rPr>
      </w:pPr>
    </w:p>
    <w:p>
      <w:pPr>
        <w:jc w:val="both"/>
        <w:ind w:left="20" w:right="80"/>
        <w:spacing w:after="0" w:line="252" w:lineRule="auto"/>
        <w:rPr>
          <w:sz w:val="20"/>
          <w:szCs w:val="20"/>
          <w:color w:val="auto"/>
        </w:rPr>
      </w:pPr>
      <w:r>
        <w:rPr>
          <w:rFonts w:ascii="Times New Roman" w:cs="Times New Roman" w:eastAsia="Times New Roman" w:hAnsi="Times New Roman"/>
          <w:sz w:val="18"/>
          <w:szCs w:val="18"/>
          <w:color w:val="auto"/>
        </w:rPr>
        <w:t>New Director Grant: At beginning of the first term of each non-employee member of the Board, each such non-employee member of the Board will automatically, without further action by the Board or the Compensation Committee of the Board, be granted a stock option for 45,000 shares of common stock (the “</w:t>
      </w:r>
      <w:r>
        <w:rPr>
          <w:rFonts w:ascii="Times New Roman" w:cs="Times New Roman" w:eastAsia="Times New Roman" w:hAnsi="Times New Roman"/>
          <w:sz w:val="18"/>
          <w:szCs w:val="18"/>
          <w:b w:val="1"/>
          <w:bCs w:val="1"/>
          <w:i w:val="1"/>
          <w:iCs w:val="1"/>
          <w:color w:val="auto"/>
        </w:rPr>
        <w:t>New Director Grant</w:t>
      </w:r>
      <w:r>
        <w:rPr>
          <w:rFonts w:ascii="Times New Roman" w:cs="Times New Roman" w:eastAsia="Times New Roman" w:hAnsi="Times New Roman"/>
          <w:sz w:val="18"/>
          <w:szCs w:val="18"/>
          <w:color w:val="auto"/>
        </w:rPr>
        <w:t>”). Such New Director Grant will be made on the first day of each new director’s first term and will vest and become exercisable as follows: (1) in three equal installments on the each of the dates that are one day prior to the first three annual stockholder meetings occurring after the grant date, or (2) immediately prior to a Change in Control, subject in each case to the director’s continued service on such vesting date.</w:t>
      </w:r>
    </w:p>
    <w:p>
      <w:pPr>
        <w:sectPr>
          <w:pgSz w:w="11900" w:h="16838" w:orient="portrait"/>
          <w:cols w:equalWidth="0" w:num="1">
            <w:col w:w="11340"/>
          </w:cols>
          <w:pgMar w:left="300" w:top="119" w:right="2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F. McFarlane, certify that:</w:t>
      </w:r>
    </w:p>
    <w:p>
      <w:pPr>
        <w:spacing w:after="0" w:line="217" w:lineRule="exact"/>
        <w:rPr>
          <w:sz w:val="20"/>
          <w:szCs w:val="20"/>
          <w:color w:val="auto"/>
        </w:rPr>
      </w:pPr>
    </w:p>
    <w:p>
      <w:pPr>
        <w:ind w:left="860" w:hanging="417"/>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4" w:lineRule="exact"/>
        <w:rPr>
          <w:rFonts w:ascii="Times New Roman" w:cs="Times New Roman" w:eastAsia="Times New Roman" w:hAnsi="Times New Roman"/>
          <w:sz w:val="18"/>
          <w:szCs w:val="18"/>
          <w:color w:val="auto"/>
        </w:rPr>
      </w:pPr>
    </w:p>
    <w:p>
      <w:pPr>
        <w:jc w:val="both"/>
        <w:ind w:left="860" w:hanging="417"/>
        <w:spacing w:after="0" w:line="245"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8"/>
          <w:szCs w:val="18"/>
          <w:color w:val="auto"/>
        </w:rPr>
      </w:pPr>
    </w:p>
    <w:p>
      <w:pPr>
        <w:ind w:left="860" w:hanging="417"/>
        <w:spacing w:after="0" w:line="245"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860" w:hanging="417"/>
        <w:spacing w:after="0" w:line="245"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300" w:hanging="433"/>
        <w:spacing w:after="0" w:line="24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300" w:hanging="433"/>
        <w:spacing w:after="0" w:line="24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300" w:hanging="433"/>
        <w:spacing w:after="0" w:line="24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433"/>
        <w:spacing w:after="0" w:line="24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860" w:hanging="417"/>
        <w:spacing w:after="0" w:line="245"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hanging="433"/>
        <w:spacing w:after="0" w:line="24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hanging="433"/>
        <w:spacing w:after="0" w:line="251"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87"/>
        </w:trPr>
        <w:tc>
          <w:tcPr>
            <w:tcW w:w="5980" w:type="dxa"/>
            <w:vAlign w:val="bottom"/>
          </w:tcPr>
          <w:p>
            <w:pPr>
              <w:spacing w:after="0"/>
              <w:rPr>
                <w:sz w:val="16"/>
                <w:szCs w:val="16"/>
                <w:color w:val="auto"/>
              </w:rPr>
            </w:pPr>
          </w:p>
        </w:tc>
        <w:tc>
          <w:tcPr>
            <w:tcW w:w="52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Name:Neil F. McFarlane</w:t>
            </w:r>
          </w:p>
        </w:tc>
      </w:tr>
      <w:tr>
        <w:trPr>
          <w:trHeight w:val="212"/>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1"/>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LaDuane Clifton, certify that:</w:t>
      </w:r>
    </w:p>
    <w:p>
      <w:pPr>
        <w:spacing w:after="0" w:line="217" w:lineRule="exact"/>
        <w:rPr>
          <w:sz w:val="20"/>
          <w:szCs w:val="20"/>
          <w:color w:val="auto"/>
        </w:rPr>
      </w:pPr>
    </w:p>
    <w:p>
      <w:pPr>
        <w:ind w:left="860" w:hanging="417"/>
        <w:spacing w:after="0"/>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4" w:lineRule="exact"/>
        <w:rPr>
          <w:rFonts w:ascii="Times New Roman" w:cs="Times New Roman" w:eastAsia="Times New Roman" w:hAnsi="Times New Roman"/>
          <w:sz w:val="18"/>
          <w:szCs w:val="18"/>
          <w:color w:val="auto"/>
        </w:rPr>
      </w:pPr>
    </w:p>
    <w:p>
      <w:pPr>
        <w:jc w:val="both"/>
        <w:ind w:left="860" w:hanging="417"/>
        <w:spacing w:after="0" w:line="245"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8"/>
          <w:szCs w:val="18"/>
          <w:color w:val="auto"/>
        </w:rPr>
      </w:pPr>
    </w:p>
    <w:p>
      <w:pPr>
        <w:ind w:left="860" w:hanging="417"/>
        <w:spacing w:after="0" w:line="245"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860" w:hanging="417"/>
        <w:spacing w:after="0" w:line="245"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300" w:hanging="433"/>
        <w:spacing w:after="0" w:line="24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300" w:hanging="433"/>
        <w:spacing w:after="0" w:line="24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300" w:hanging="433"/>
        <w:spacing w:after="0" w:line="24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433"/>
        <w:spacing w:after="0" w:line="24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860" w:hanging="417"/>
        <w:spacing w:after="0" w:line="245"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hanging="433"/>
        <w:spacing w:after="0" w:line="24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hanging="433"/>
        <w:spacing w:after="0" w:line="251"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87"/>
        </w:trPr>
        <w:tc>
          <w:tcPr>
            <w:tcW w:w="5980" w:type="dxa"/>
            <w:vAlign w:val="bottom"/>
          </w:tcPr>
          <w:p>
            <w:pPr>
              <w:spacing w:after="0"/>
              <w:rPr>
                <w:sz w:val="16"/>
                <w:szCs w:val="16"/>
                <w:color w:val="auto"/>
              </w:rPr>
            </w:pPr>
          </w:p>
        </w:tc>
        <w:tc>
          <w:tcPr>
            <w:tcW w:w="52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Name:R. LaDuane Clifton, MBA, CPA</w:t>
            </w:r>
          </w:p>
        </w:tc>
      </w:tr>
      <w:tr>
        <w:trPr>
          <w:trHeight w:val="212"/>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1"/>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March 31, 2025,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860" w:hanging="417"/>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 w:lineRule="exact"/>
        <w:rPr>
          <w:rFonts w:ascii="Times New Roman" w:cs="Times New Roman" w:eastAsia="Times New Roman" w:hAnsi="Times New Roman"/>
          <w:sz w:val="18"/>
          <w:szCs w:val="18"/>
          <w:color w:val="auto"/>
        </w:rPr>
      </w:pPr>
    </w:p>
    <w:p>
      <w:pPr>
        <w:ind w:left="860" w:hanging="417"/>
        <w:spacing w:after="0"/>
        <w:tabs>
          <w:tab w:leader="none" w:pos="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87"/>
        </w:trPr>
        <w:tc>
          <w:tcPr>
            <w:tcW w:w="5980" w:type="dxa"/>
            <w:vAlign w:val="bottom"/>
          </w:tcPr>
          <w:p>
            <w:pPr>
              <w:spacing w:after="0"/>
              <w:rPr>
                <w:sz w:val="16"/>
                <w:szCs w:val="16"/>
                <w:color w:val="auto"/>
              </w:rPr>
            </w:pPr>
          </w:p>
        </w:tc>
        <w:tc>
          <w:tcPr>
            <w:tcW w:w="52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Name:Neil F. McFarlane</w:t>
            </w:r>
          </w:p>
        </w:tc>
      </w:tr>
      <w:tr>
        <w:trPr>
          <w:trHeight w:val="212"/>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1"/>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March 31, 2025,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860" w:hanging="417"/>
        <w:spacing w:after="0"/>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 w:lineRule="exact"/>
        <w:rPr>
          <w:rFonts w:ascii="Times New Roman" w:cs="Times New Roman" w:eastAsia="Times New Roman" w:hAnsi="Times New Roman"/>
          <w:sz w:val="18"/>
          <w:szCs w:val="18"/>
          <w:color w:val="auto"/>
        </w:rPr>
      </w:pPr>
    </w:p>
    <w:p>
      <w:pPr>
        <w:ind w:left="860" w:hanging="417"/>
        <w:spacing w:after="0"/>
        <w:tabs>
          <w:tab w:leader="none" w:pos="8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87"/>
        </w:trPr>
        <w:tc>
          <w:tcPr>
            <w:tcW w:w="5980" w:type="dxa"/>
            <w:vAlign w:val="bottom"/>
          </w:tcPr>
          <w:p>
            <w:pPr>
              <w:spacing w:after="0"/>
              <w:rPr>
                <w:sz w:val="16"/>
                <w:szCs w:val="16"/>
                <w:color w:val="auto"/>
              </w:rPr>
            </w:pPr>
          </w:p>
        </w:tc>
        <w:tc>
          <w:tcPr>
            <w:tcW w:w="52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Name:R. LaDuane Clifton, MBA, CPA</w:t>
            </w:r>
          </w:p>
        </w:tc>
      </w:tr>
      <w:tr>
        <w:trPr>
          <w:trHeight w:val="212"/>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1"/>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upperLetter"/>
      <w:start w:val="1"/>
    </w:lvl>
  </w:abstractNum>
  <w:abstractNum w:abstractNumId="4">
    <w:nsid w:val="4516DDE9"/>
    <w:multiLevelType w:val="hybridMultilevel"/>
    <w:lvl w:ilvl="0">
      <w:lvlJc w:val="left"/>
      <w:lvlText w:val="%1."/>
      <w:numFmt w:val="upperLetter"/>
      <w:start w:val="2"/>
    </w:lvl>
  </w:abstractNum>
  <w:abstractNum w:abstractNumId="5">
    <w:nsid w:val="3006C83E"/>
    <w:multiLevelType w:val="hybridMultilevel"/>
    <w:lvl w:ilvl="0">
      <w:lvlJc w:val="left"/>
      <w:lvlText w:val="%1."/>
      <w:numFmt w:val="upperLetter"/>
      <w:start w:val="3"/>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upperLetter"/>
      <w:start w:val="5"/>
    </w:lvl>
  </w:abstractNum>
  <w:abstractNum w:abstractNumId="8">
    <w:nsid w:val="5577F8E1"/>
    <w:multiLevelType w:val="hybridMultilevel"/>
    <w:lvl w:ilvl="0">
      <w:lvlJc w:val="left"/>
      <w:lvlText w:val="%1."/>
      <w:numFmt w:val="upperLetter"/>
      <w:start w:val="6"/>
    </w:lvl>
  </w:abstractNum>
  <w:abstractNum w:abstractNumId="9">
    <w:nsid w:val="440BADFC"/>
    <w:multiLevelType w:val="hybridMultilevel"/>
    <w:lvl w:ilvl="0">
      <w:lvlJc w:val="left"/>
      <w:lvlText w:val="%1."/>
      <w:numFmt w:val="upperLetter"/>
      <w:start w:val="7"/>
    </w:lvl>
  </w:abstractNum>
  <w:abstractNum w:abstractNumId="10">
    <w:nsid w:val="5072367"/>
    <w:multiLevelType w:val="hybridMultilevel"/>
    <w:lvl w:ilvl="0">
      <w:lvlJc w:val="left"/>
      <w:lvlText w:val="%1."/>
      <w:numFmt w:val="upperLetter"/>
      <w:start w:val="8"/>
    </w:lvl>
  </w:abstractNum>
  <w:abstractNum w:abstractNumId="11">
    <w:nsid w:val="3804823E"/>
    <w:multiLevelType w:val="hybridMultilevel"/>
    <w:lvl w:ilvl="0">
      <w:lvlJc w:val="left"/>
      <w:lvlText w:val="%1."/>
      <w:numFmt w:val="upperLetter"/>
      <w:start w:val="9"/>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upperLetter"/>
      <w:start w:val="10"/>
    </w:lvl>
  </w:abstractNum>
  <w:abstractNum w:abstractNumId="14">
    <w:nsid w:val="5C482A97"/>
    <w:multiLevelType w:val="hybridMultilevel"/>
    <w:lvl w:ilvl="0">
      <w:lvlJc w:val="left"/>
      <w:lvlText w:val="%1."/>
      <w:numFmt w:val="upperLetter"/>
      <w:start w:val="11"/>
    </w:lvl>
  </w:abstractNum>
  <w:abstractNum w:abstractNumId="15">
    <w:nsid w:val="2463B9EA"/>
    <w:multiLevelType w:val="hybridMultilevel"/>
    <w:lvl w:ilvl="0">
      <w:lvlJc w:val="left"/>
      <w:lvlText w:val="%1."/>
      <w:numFmt w:val="upperLetter"/>
      <w:start w:val="12"/>
    </w:lvl>
  </w:abstractNum>
  <w:abstractNum w:abstractNumId="16">
    <w:nsid w:val="5E884ADC"/>
    <w:multiLevelType w:val="hybridMultilevel"/>
    <w:lvl w:ilvl="0">
      <w:lvlJc w:val="left"/>
      <w:lvlText w:val="%1."/>
      <w:numFmt w:val="upperLetter"/>
      <w:start w:val="13"/>
    </w:lvl>
  </w:abstractNum>
  <w:abstractNum w:abstractNumId="17">
    <w:nsid w:val="51EAD36B"/>
    <w:multiLevelType w:val="hybridMultilevel"/>
    <w:lvl w:ilvl="0">
      <w:lvlJc w:val="left"/>
      <w:lvlText w:val="%1."/>
      <w:numFmt w:val="upperLetter"/>
      <w:start w:val="14"/>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1"/>
    </w:lvl>
  </w:abstractNum>
  <w:abstractNum w:abstractNumId="30">
    <w:nsid w:val="4B588F54"/>
    <w:multiLevelType w:val="hybridMultilevel"/>
    <w:lvl w:ilvl="0">
      <w:lvlJc w:val="left"/>
      <w:lvlText w:val="(%1)"/>
      <w:numFmt w:val="lowerLetter"/>
      <w:start w:val="27"/>
    </w:lvl>
  </w:abstractNum>
  <w:abstractNum w:abstractNumId="31">
    <w:nsid w:val="542289EC"/>
    <w:multiLevelType w:val="hybridMultilevel"/>
    <w:lvl w:ilvl="0">
      <w:lvlJc w:val="left"/>
      <w:lvlText w:val="(%1)"/>
      <w:numFmt w:val="lowerLetter"/>
      <w:start w:val="33"/>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7"/>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
      <w:numFmt w:val="bullet"/>
      <w:start w:val="1"/>
    </w:lvl>
    <w:lvl w:ilvl="1">
      <w:lvlJc w:val="left"/>
      <w:lvlText w:val="(%2)"/>
      <w:numFmt w:val="lowerLetter"/>
      <w:start w:val="1"/>
    </w:lvl>
  </w:abstractNum>
  <w:abstractNum w:abstractNumId="42">
    <w:nsid w:val="75C6C33A"/>
    <w:multiLevelType w:val="hybridMultilevel"/>
    <w:lvl w:ilvl="0">
      <w:lvlJc w:val="left"/>
      <w:lvlText w:val="(%1)"/>
      <w:numFmt w:val="lowerLetter"/>
      <w:start w:val="5"/>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lvl w:ilvl="1">
      <w:lvlJc w:val="left"/>
      <w:lvlText w:val="(%2)"/>
      <w:numFmt w:val="lowerLetter"/>
      <w:start w:val="1"/>
    </w:lvl>
  </w:abstractNum>
  <w:abstractNum w:abstractNumId="45">
    <w:nsid w:val="520EEDD1"/>
    <w:multiLevelType w:val="hybridMultilevel"/>
    <w:lvl w:ilvl="0">
      <w:lvlJc w:val="left"/>
      <w:lvlText w:val="(%1)"/>
      <w:numFmt w:val="lowerLetter"/>
      <w:start w:val="9"/>
    </w:lvl>
    <w:lvl w:ilvl="1">
      <w:lvlJc w:val="left"/>
      <w:lvlText w:val="(%2)"/>
      <w:numFmt w:val="lowerLetter"/>
      <w:start w:val="3"/>
    </w:lvl>
  </w:abstractNum>
  <w:abstractNum w:abstractNumId="46">
    <w:nsid w:val="374A3FE6"/>
    <w:multiLevelType w:val="hybridMultilevel"/>
    <w:lvl w:ilvl="0">
      <w:lvlJc w:val="left"/>
      <w:lvlText w:val="%1"/>
      <w:numFmt w:val="lowerLetter"/>
      <w:start w:val="1"/>
    </w:lvl>
    <w:lvl w:ilvl="1">
      <w:lvlJc w:val="left"/>
      <w:lvlText w:val="(%2)"/>
      <w:numFmt w:val="lowerLetter"/>
      <w:start w:val="4"/>
    </w:lvl>
  </w:abstractNum>
  <w:abstractNum w:abstractNumId="47">
    <w:nsid w:val="4F4EF005"/>
    <w:multiLevelType w:val="hybridMultilevel"/>
    <w:lvl w:ilvl="0">
      <w:lvlJc w:val="left"/>
      <w:lvlText w:val="(%1)"/>
      <w:numFmt w:val="lowerLetter"/>
      <w:start w:val="35"/>
    </w:lvl>
    <w:lvl w:ilvl="1">
      <w:lvlJc w:val="left"/>
      <w:lvlText w:val="(%2)"/>
      <w:numFmt w:val="lowerLetter"/>
      <w:start w:val="5"/>
    </w:lvl>
  </w:abstractNum>
  <w:abstractNum w:abstractNumId="48">
    <w:nsid w:val="23F9C13C"/>
    <w:multiLevelType w:val="hybridMultilevel"/>
    <w:lvl w:ilvl="0">
      <w:lvlJc w:val="left"/>
      <w:lvlText w:val="%1"/>
      <w:numFmt w:val="lowerLetter"/>
      <w:start w:val="1"/>
    </w:lvl>
    <w:lvl w:ilvl="1">
      <w:lvlJc w:val="left"/>
      <w:lvlText w:val="(%2)"/>
      <w:numFmt w:val="lowerLetter"/>
      <w:start w:val="1"/>
    </w:lvl>
  </w:abstractNum>
  <w:abstractNum w:abstractNumId="49">
    <w:nsid w:val="649BB77C"/>
    <w:multiLevelType w:val="hybridMultilevel"/>
    <w:lvl w:ilvl="0">
      <w:lvlJc w:val="left"/>
      <w:lvlText w:val="(%1)"/>
      <w:numFmt w:val="lowerLetter"/>
      <w:start w:val="35"/>
    </w:lvl>
    <w:lvl w:ilvl="1">
      <w:lvlJc w:val="left"/>
      <w:lvlText w:val="(%2)"/>
      <w:numFmt w:val="lowerLetter"/>
      <w:start w:val="4"/>
    </w:lvl>
  </w:abstractNum>
  <w:abstractNum w:abstractNumId="50">
    <w:nsid w:val="275AC794"/>
    <w:multiLevelType w:val="hybridMultilevel"/>
    <w:lvl w:ilvl="0">
      <w:lvlJc w:val="left"/>
      <w:lvlText w:val="(%1)"/>
      <w:numFmt w:val="lowerLetter"/>
      <w:start w:val="5"/>
    </w:lvl>
  </w:abstractNum>
  <w:abstractNum w:abstractNumId="51">
    <w:nsid w:val="39386575"/>
    <w:multiLevelType w:val="hybridMultilevel"/>
    <w:lvl w:ilvl="0">
      <w:lvlJc w:val="left"/>
      <w:lvlText w:val="(%1)"/>
      <w:numFmt w:val="lowerRoman"/>
      <w:start w:val="2"/>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64" Type="http://schemas.openxmlformats.org/officeDocument/2006/relationships/hyperlink" Target="http://www.sec.gov/Archives/edgar/data/1434647/000119312515140072/d911803dex31.htm" TargetMode="External"/><Relationship Id="rId65" Type="http://schemas.openxmlformats.org/officeDocument/2006/relationships/hyperlink" Target="http://www.sec.gov/Archives/edgar/data/0001434647/000143774920025891/ex_218888.htm" TargetMode="External"/><Relationship Id="rId66" Type="http://schemas.openxmlformats.org/officeDocument/2006/relationships/hyperlink" Target="http://www.sec.gov/Archives/edgar/data/1434647/000143774923004450/ex_478052.htm" TargetMode="External"/><Relationship Id="rId67" Type="http://schemas.openxmlformats.org/officeDocument/2006/relationships/hyperlink" Target="http://www.sec.gov/Archives/edgar/data/1434647/000143774924005904/ex_632349.htm" TargetMode="External"/><Relationship Id="rId68" Type="http://schemas.openxmlformats.org/officeDocument/2006/relationships/hyperlink" Target="http://www.sec.gov/Archives/edgar/data/1434647/000143774921005785/ex_227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2025-05-13T16:27:54Z</dcterms:created>
  <dcterms:modified xsi:type="dcterms:W3CDTF">2025-05-13T16:27:54Z</dcterms:modified>
</cp:coreProperties>
</file>