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207645</wp:posOffset>
            </wp:positionH>
            <wp:positionV relativeFrom="page">
              <wp:posOffset>481330</wp:posOffset>
            </wp:positionV>
            <wp:extent cx="7132955"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541020</wp:posOffset>
            </wp:positionV>
            <wp:extent cx="7132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955"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193675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 w:lineRule="exact"/>
        <w:rPr>
          <w:sz w:val="24"/>
          <w:szCs w:val="24"/>
          <w:color w:val="auto"/>
        </w:rPr>
      </w:pPr>
    </w:p>
    <w:p>
      <w:pPr>
        <w:ind w:left="3900" w:right="1580" w:hanging="3893"/>
        <w:spacing w:after="0" w:line="490" w:lineRule="auto"/>
        <w:tabs>
          <w:tab w:leader="none" w:pos="565"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June 30, 2021</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23" w:lineRule="exact"/>
        <w:rPr>
          <w:sz w:val="24"/>
          <w:szCs w:val="24"/>
          <w:color w:val="auto"/>
        </w:rPr>
      </w:pPr>
    </w:p>
    <w:p>
      <w:pPr>
        <w:ind w:left="560" w:hanging="553"/>
        <w:spacing w:after="0"/>
        <w:tabs>
          <w:tab w:leader="none" w:pos="5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3" w:lineRule="exact"/>
        <w:rPr>
          <w:sz w:val="24"/>
          <w:szCs w:val="24"/>
          <w:color w:val="auto"/>
        </w:rPr>
      </w:pPr>
    </w:p>
    <w:p>
      <w:pPr>
        <w:ind w:left="3800"/>
        <w:spacing w:after="0"/>
        <w:tabs>
          <w:tab w:leader="none" w:pos="72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3979545</wp:posOffset>
            </wp:positionH>
            <wp:positionV relativeFrom="paragraph">
              <wp:posOffset>-8255</wp:posOffset>
            </wp:positionV>
            <wp:extent cx="6254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5475" cy="8255"/>
                    </a:xfrm>
                    <a:prstGeom prst="rect">
                      <a:avLst/>
                    </a:prstGeom>
                    <a:noFill/>
                  </pic:spPr>
                </pic:pic>
              </a:graphicData>
            </a:graphic>
          </wp:anchor>
        </w:drawing>
      </w: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No. 001-36913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187325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KemPharm,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2684145</wp:posOffset>
            </wp:positionH>
            <wp:positionV relativeFrom="paragraph">
              <wp:posOffset>174625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tbl>
      <w:tblPr>
        <w:tblLayout w:type="fixed"/>
        <w:tblInd w:w="380" w:type="dxa"/>
        <w:tblCellMar>
          <w:top w:w="0" w:type="dxa"/>
          <w:left w:w="0" w:type="dxa"/>
          <w:bottom w:w="0" w:type="dxa"/>
          <w:right w:w="0" w:type="dxa"/>
        </w:tblCellMar>
      </w:tblPr>
      <w:tr>
        <w:trPr>
          <w:trHeight w:val="215"/>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Delaware</w:t>
            </w:r>
          </w:p>
        </w:tc>
        <w:tc>
          <w:tcPr>
            <w:tcW w:w="3200" w:type="dxa"/>
            <w:vAlign w:val="bottom"/>
          </w:tcPr>
          <w:p>
            <w:pPr>
              <w:jc w:val="right"/>
              <w:ind w:right="850"/>
              <w:spacing w:after="0"/>
              <w:rPr>
                <w:sz w:val="20"/>
                <w:szCs w:val="20"/>
                <w:color w:val="auto"/>
              </w:rPr>
            </w:pPr>
            <w:r>
              <w:rPr>
                <w:rFonts w:ascii="Arial" w:cs="Arial" w:eastAsia="Arial" w:hAnsi="Arial"/>
                <w:sz w:val="18"/>
                <w:szCs w:val="18"/>
                <w:b w:val="1"/>
                <w:bCs w:val="1"/>
                <w:color w:val="auto"/>
              </w:rPr>
              <w:t>20-5894398</w:t>
            </w:r>
          </w:p>
        </w:tc>
      </w:tr>
      <w:tr>
        <w:trPr>
          <w:trHeight w:val="234"/>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411"/>
        </w:trPr>
        <w:tc>
          <w:tcPr>
            <w:tcW w:w="6280" w:type="dxa"/>
            <w:vAlign w:val="bottom"/>
          </w:tcPr>
          <w:p>
            <w:pPr>
              <w:jc w:val="center"/>
              <w:ind w:right="1430"/>
              <w:spacing w:after="0"/>
              <w:rPr>
                <w:sz w:val="20"/>
                <w:szCs w:val="20"/>
                <w:color w:val="auto"/>
              </w:rPr>
            </w:pPr>
            <w:r>
              <w:rPr>
                <w:rFonts w:ascii="Arial" w:cs="Arial" w:eastAsia="Arial" w:hAnsi="Arial"/>
                <w:sz w:val="18"/>
                <w:szCs w:val="18"/>
                <w:b w:val="1"/>
                <w:bCs w:val="1"/>
                <w:color w:val="auto"/>
                <w:w w:val="90"/>
              </w:rPr>
              <w:t>1180 Celebration Boulevard, Suite 103, Celebration, FL</w:t>
            </w:r>
          </w:p>
        </w:tc>
        <w:tc>
          <w:tcPr>
            <w:tcW w:w="3200" w:type="dxa"/>
            <w:vAlign w:val="bottom"/>
          </w:tcPr>
          <w:p>
            <w:pPr>
              <w:jc w:val="right"/>
              <w:ind w:right="1050"/>
              <w:spacing w:after="0"/>
              <w:rPr>
                <w:sz w:val="20"/>
                <w:szCs w:val="20"/>
                <w:color w:val="auto"/>
              </w:rPr>
            </w:pPr>
            <w:r>
              <w:rPr>
                <w:rFonts w:ascii="Arial" w:cs="Arial" w:eastAsia="Arial" w:hAnsi="Arial"/>
                <w:sz w:val="18"/>
                <w:szCs w:val="18"/>
                <w:b w:val="1"/>
                <w:bCs w:val="1"/>
                <w:color w:val="auto"/>
              </w:rPr>
              <w:t>34747</w:t>
            </w:r>
          </w:p>
        </w:tc>
      </w:tr>
      <w:tr>
        <w:trPr>
          <w:trHeight w:val="234"/>
        </w:trPr>
        <w:tc>
          <w:tcPr>
            <w:tcW w:w="6280" w:type="dxa"/>
            <w:vAlign w:val="bottom"/>
          </w:tcPr>
          <w:p>
            <w:pPr>
              <w:jc w:val="center"/>
              <w:ind w:right="1410"/>
              <w:spacing w:after="0"/>
              <w:rPr>
                <w:sz w:val="20"/>
                <w:szCs w:val="20"/>
                <w:color w:val="auto"/>
              </w:rPr>
            </w:pPr>
            <w:r>
              <w:rPr>
                <w:rFonts w:ascii="Arial" w:cs="Arial" w:eastAsia="Arial" w:hAnsi="Arial"/>
                <w:sz w:val="18"/>
                <w:szCs w:val="18"/>
                <w:b w:val="1"/>
                <w:bCs w:val="1"/>
                <w:color w:val="auto"/>
                <w:w w:val="89"/>
              </w:rPr>
              <w:t>(Address of Principal Executive Offices)</w:t>
            </w:r>
          </w:p>
        </w:tc>
        <w:tc>
          <w:tcPr>
            <w:tcW w:w="3200" w:type="dxa"/>
            <w:vAlign w:val="bottom"/>
          </w:tcPr>
          <w:p>
            <w:pPr>
              <w:jc w:val="center"/>
              <w:ind w:left="370"/>
              <w:spacing w:after="0"/>
              <w:rPr>
                <w:sz w:val="20"/>
                <w:szCs w:val="20"/>
                <w:color w:val="auto"/>
              </w:rPr>
            </w:pPr>
            <w:r>
              <w:rPr>
                <w:rFonts w:ascii="Arial" w:cs="Arial" w:eastAsia="Arial" w:hAnsi="Arial"/>
                <w:sz w:val="18"/>
                <w:szCs w:val="18"/>
                <w:b w:val="1"/>
                <w:bCs w:val="1"/>
                <w:color w:val="auto"/>
                <w:w w:val="92"/>
              </w:rPr>
              <w:t>(Zip Code)</w:t>
            </w:r>
          </w:p>
        </w:tc>
      </w:tr>
      <w:tr>
        <w:trPr>
          <w:trHeight w:val="430"/>
        </w:trPr>
        <w:tc>
          <w:tcPr>
            <w:tcW w:w="6280" w:type="dxa"/>
            <w:vAlign w:val="bottom"/>
          </w:tcPr>
          <w:p>
            <w:pPr>
              <w:jc w:val="right"/>
              <w:ind w:right="390"/>
              <w:spacing w:after="0"/>
              <w:rPr>
                <w:sz w:val="20"/>
                <w:szCs w:val="20"/>
                <w:color w:val="auto"/>
              </w:rPr>
            </w:pPr>
            <w:r>
              <w:rPr>
                <w:rFonts w:ascii="Arial" w:cs="Arial" w:eastAsia="Arial" w:hAnsi="Arial"/>
                <w:sz w:val="18"/>
                <w:szCs w:val="18"/>
                <w:b w:val="1"/>
                <w:bCs w:val="1"/>
                <w:color w:val="auto"/>
              </w:rPr>
              <w:t>(321) 939-3416</w:t>
            </w:r>
          </w:p>
        </w:tc>
        <w:tc>
          <w:tcPr>
            <w:tcW w:w="3200" w:type="dxa"/>
            <w:vAlign w:val="bottom"/>
          </w:tcPr>
          <w:p>
            <w:pPr>
              <w:spacing w:after="0"/>
              <w:rPr>
                <w:sz w:val="24"/>
                <w:szCs w:val="24"/>
                <w:color w:val="auto"/>
              </w:rPr>
            </w:pPr>
          </w:p>
        </w:tc>
      </w:tr>
    </w:tbl>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0" w:lineRule="exact"/>
        <w:rPr>
          <w:sz w:val="24"/>
          <w:szCs w:val="24"/>
          <w:color w:val="auto"/>
        </w:rPr>
      </w:pPr>
    </w:p>
    <w:p>
      <w:pPr>
        <w:spacing w:after="0" w:line="219" w:lineRule="exact"/>
        <w:rPr>
          <w:sz w:val="24"/>
          <w:szCs w:val="24"/>
          <w:color w:val="auto"/>
        </w:rPr>
      </w:pPr>
    </w:p>
    <w:p>
      <w:pPr>
        <w:ind w:left="2240"/>
        <w:spacing w:after="0"/>
        <w:rPr>
          <w:sz w:val="20"/>
          <w:szCs w:val="20"/>
          <w:color w:val="auto"/>
        </w:rPr>
      </w:pPr>
      <w:r>
        <w:rPr>
          <w:rFonts w:ascii="Arial" w:cs="Arial" w:eastAsia="Arial" w:hAnsi="Arial"/>
          <w:sz w:val="18"/>
          <w:szCs w:val="18"/>
          <w:b w:val="1"/>
          <w:bCs w:val="1"/>
          <w:color w:val="auto"/>
        </w:rPr>
        <w:t>(Former Name, Former Address, and Former Fiscal Year if Changed Since Last Report)</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17" w:lineRule="exact"/>
        <w:rPr>
          <w:sz w:val="24"/>
          <w:szCs w:val="24"/>
          <w:color w:val="auto"/>
        </w:rPr>
      </w:pPr>
    </w:p>
    <w:tbl>
      <w:tblPr>
        <w:tblLayout w:type="fixed"/>
        <w:tblInd w:w="1150" w:type="dxa"/>
        <w:tblCellMar>
          <w:top w:w="0" w:type="dxa"/>
          <w:left w:w="0" w:type="dxa"/>
          <w:bottom w:w="0" w:type="dxa"/>
          <w:right w:w="0" w:type="dxa"/>
        </w:tblCellMar>
      </w:tblPr>
      <w:tr>
        <w:trPr>
          <w:trHeight w:val="214"/>
        </w:trPr>
        <w:tc>
          <w:tcPr>
            <w:tcW w:w="300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0"/>
              </w:rPr>
              <w:t>Title of each class</w:t>
            </w:r>
          </w:p>
        </w:tc>
        <w:tc>
          <w:tcPr>
            <w:tcW w:w="30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Trading Symbol</w:t>
            </w:r>
          </w:p>
        </w:tc>
        <w:tc>
          <w:tcPr>
            <w:tcW w:w="29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c>
          <w:tcPr>
            <w:tcW w:w="0" w:type="dxa"/>
            <w:vAlign w:val="bottom"/>
          </w:tcPr>
          <w:p>
            <w:pPr>
              <w:spacing w:after="0"/>
              <w:rPr>
                <w:sz w:val="1"/>
                <w:szCs w:val="1"/>
                <w:color w:val="auto"/>
              </w:rPr>
            </w:pPr>
          </w:p>
        </w:tc>
      </w:tr>
      <w:tr>
        <w:trPr>
          <w:trHeight w:val="122"/>
        </w:trPr>
        <w:tc>
          <w:tcPr>
            <w:tcW w:w="3000" w:type="dxa"/>
            <w:vAlign w:val="bottom"/>
            <w:tcBorders>
              <w:left w:val="single" w:sz="8" w:color="auto"/>
              <w:right w:val="single" w:sz="8" w:color="auto"/>
            </w:tcBorders>
            <w:vMerge w:val="continue"/>
          </w:tcPr>
          <w:p>
            <w:pPr>
              <w:spacing w:after="0"/>
              <w:rPr>
                <w:sz w:val="10"/>
                <w:szCs w:val="10"/>
                <w:color w:val="auto"/>
              </w:rPr>
            </w:pPr>
          </w:p>
        </w:tc>
        <w:tc>
          <w:tcPr>
            <w:tcW w:w="3020" w:type="dxa"/>
            <w:vAlign w:val="bottom"/>
            <w:tcBorders>
              <w:right w:val="single" w:sz="8" w:color="auto"/>
            </w:tcBorders>
            <w:vMerge w:val="continue"/>
          </w:tcPr>
          <w:p>
            <w:pPr>
              <w:spacing w:after="0"/>
              <w:rPr>
                <w:sz w:val="10"/>
                <w:szCs w:val="10"/>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7"/>
              </w:rPr>
              <w:t>registered</w:t>
            </w:r>
          </w:p>
        </w:tc>
        <w:tc>
          <w:tcPr>
            <w:tcW w:w="0" w:type="dxa"/>
            <w:vAlign w:val="bottom"/>
          </w:tcPr>
          <w:p>
            <w:pPr>
              <w:spacing w:after="0"/>
              <w:rPr>
                <w:sz w:val="1"/>
                <w:szCs w:val="1"/>
                <w:color w:val="auto"/>
              </w:rPr>
            </w:pPr>
          </w:p>
        </w:tc>
      </w:tr>
      <w:tr>
        <w:trPr>
          <w:trHeight w:val="124"/>
        </w:trPr>
        <w:tc>
          <w:tcPr>
            <w:tcW w:w="3000" w:type="dxa"/>
            <w:vAlign w:val="bottom"/>
            <w:tcBorders>
              <w:left w:val="single" w:sz="8" w:color="auto"/>
              <w:bottom w:val="single" w:sz="8" w:color="auto"/>
              <w:right w:val="single" w:sz="8" w:color="auto"/>
            </w:tcBorders>
          </w:tcPr>
          <w:p>
            <w:pPr>
              <w:spacing w:after="0"/>
              <w:rPr>
                <w:sz w:val="10"/>
                <w:szCs w:val="10"/>
                <w:color w:val="auto"/>
              </w:rPr>
            </w:pPr>
          </w:p>
        </w:tc>
        <w:tc>
          <w:tcPr>
            <w:tcW w:w="3020" w:type="dxa"/>
            <w:vAlign w:val="bottom"/>
            <w:tcBorders>
              <w:bottom w:val="single" w:sz="8" w:color="auto"/>
              <w:right w:val="single" w:sz="8" w:color="auto"/>
            </w:tcBorders>
          </w:tcPr>
          <w:p>
            <w:pPr>
              <w:spacing w:after="0"/>
              <w:rPr>
                <w:sz w:val="10"/>
                <w:szCs w:val="10"/>
                <w:color w:val="auto"/>
              </w:rPr>
            </w:pPr>
          </w:p>
        </w:tc>
        <w:tc>
          <w:tcPr>
            <w:tcW w:w="298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3000" w:type="dxa"/>
            <w:vAlign w:val="bottom"/>
            <w:tcBorders>
              <w:left w:val="single" w:sz="8" w:color="auto"/>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0"/>
              </w:rPr>
              <w:t>Common</w:t>
            </w:r>
          </w:p>
        </w:tc>
        <w:tc>
          <w:tcPr>
            <w:tcW w:w="302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9"/>
              </w:rPr>
              <w:t>KMPH</w:t>
            </w:r>
          </w:p>
        </w:tc>
        <w:tc>
          <w:tcPr>
            <w:tcW w:w="2980" w:type="dxa"/>
            <w:vAlign w:val="bottom"/>
            <w:tcBorders>
              <w:right w:val="single" w:sz="8" w:color="auto"/>
            </w:tcBorders>
          </w:tcPr>
          <w:p>
            <w:pPr>
              <w:jc w:val="center"/>
              <w:spacing w:after="0" w:line="177" w:lineRule="exact"/>
              <w:rPr>
                <w:sz w:val="20"/>
                <w:szCs w:val="20"/>
                <w:color w:val="auto"/>
              </w:rPr>
            </w:pPr>
            <w:r>
              <w:rPr>
                <w:rFonts w:ascii="Arial" w:cs="Arial" w:eastAsia="Arial" w:hAnsi="Arial"/>
                <w:sz w:val="18"/>
                <w:szCs w:val="18"/>
                <w:color w:val="auto"/>
                <w:w w:val="91"/>
              </w:rPr>
              <w:t>The Nasdaq Stock Market LLC</w:t>
            </w:r>
          </w:p>
        </w:tc>
        <w:tc>
          <w:tcPr>
            <w:tcW w:w="0" w:type="dxa"/>
            <w:vAlign w:val="bottom"/>
          </w:tcPr>
          <w:p>
            <w:pPr>
              <w:spacing w:after="0"/>
              <w:rPr>
                <w:sz w:val="1"/>
                <w:szCs w:val="1"/>
                <w:color w:val="auto"/>
              </w:rPr>
            </w:pPr>
          </w:p>
        </w:tc>
      </w:tr>
      <w:tr>
        <w:trPr>
          <w:trHeight w:val="226"/>
        </w:trPr>
        <w:tc>
          <w:tcPr>
            <w:tcW w:w="3000" w:type="dxa"/>
            <w:vAlign w:val="bottom"/>
            <w:tcBorders>
              <w:left w:val="single" w:sz="8" w:color="auto"/>
              <w:bottom w:val="single" w:sz="8" w:color="auto"/>
              <w:right w:val="single" w:sz="8" w:color="auto"/>
            </w:tcBorders>
          </w:tcPr>
          <w:p>
            <w:pPr>
              <w:spacing w:after="0"/>
              <w:rPr>
                <w:sz w:val="19"/>
                <w:szCs w:val="19"/>
                <w:color w:val="auto"/>
              </w:rPr>
            </w:pPr>
          </w:p>
        </w:tc>
        <w:tc>
          <w:tcPr>
            <w:tcW w:w="3020" w:type="dxa"/>
            <w:vAlign w:val="bottom"/>
            <w:tcBorders>
              <w:bottom w:val="single" w:sz="8" w:color="auto"/>
              <w:right w:val="single" w:sz="8" w:color="auto"/>
            </w:tcBorders>
          </w:tcPr>
          <w:p>
            <w:pPr>
              <w:spacing w:after="0"/>
              <w:rPr>
                <w:sz w:val="19"/>
                <w:szCs w:val="19"/>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c>
          <w:tcPr>
            <w:tcW w:w="0" w:type="dxa"/>
            <w:vAlign w:val="bottom"/>
          </w:tcPr>
          <w:p>
            <w:pPr>
              <w:spacing w:after="0"/>
              <w:rPr>
                <w:sz w:val="1"/>
                <w:szCs w:val="1"/>
                <w:color w:val="auto"/>
              </w:rPr>
            </w:pPr>
          </w:p>
        </w:tc>
      </w:tr>
    </w:tbl>
    <w:p>
      <w:pPr>
        <w:spacing w:after="0" w:line="197" w:lineRule="exact"/>
        <w:rPr>
          <w:sz w:val="24"/>
          <w:szCs w:val="24"/>
          <w:color w:val="auto"/>
        </w:rPr>
      </w:pPr>
    </w:p>
    <w:p>
      <w:pPr>
        <w:jc w:val="both"/>
        <w:spacing w:after="0" w:line="226"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2" w:lineRule="exact"/>
        <w:rPr>
          <w:sz w:val="24"/>
          <w:szCs w:val="24"/>
          <w:color w:val="auto"/>
        </w:rPr>
      </w:pPr>
    </w:p>
    <w:p>
      <w:pPr>
        <w:jc w:val="both"/>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81" w:lineRule="exact"/>
        <w:rPr>
          <w:sz w:val="24"/>
          <w:szCs w:val="24"/>
          <w:color w:val="auto"/>
        </w:rPr>
      </w:pPr>
    </w:p>
    <w:p>
      <w:pPr>
        <w:jc w:val="both"/>
        <w:spacing w:after="0" w:line="26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320" w:type="dxa"/>
            <w:vAlign w:val="bottom"/>
          </w:tcPr>
          <w:p>
            <w:pPr>
              <w:ind w:left="1720"/>
              <w:spacing w:after="0"/>
              <w:rPr>
                <w:sz w:val="20"/>
                <w:szCs w:val="20"/>
                <w:color w:val="auto"/>
              </w:rPr>
            </w:pPr>
            <w:r>
              <w:rPr>
                <w:rFonts w:ascii="Arial" w:cs="Arial" w:eastAsia="Arial" w:hAnsi="Arial"/>
                <w:sz w:val="18"/>
                <w:szCs w:val="18"/>
                <w:color w:val="auto"/>
              </w:rPr>
              <w:t>Accelerated filer</w:t>
            </w:r>
          </w:p>
        </w:tc>
        <w:tc>
          <w:tcPr>
            <w:tcW w:w="58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r>
      <w:tr>
        <w:trPr>
          <w:trHeight w:val="215"/>
        </w:trPr>
        <w:tc>
          <w:tcPr>
            <w:tcW w:w="1820" w:type="dxa"/>
            <w:vAlign w:val="bottom"/>
          </w:tcPr>
          <w:p>
            <w:pPr>
              <w:spacing w:after="0"/>
              <w:rPr>
                <w:sz w:val="20"/>
                <w:szCs w:val="20"/>
                <w:color w:val="auto"/>
              </w:rPr>
            </w:pPr>
            <w:r>
              <w:rPr>
                <w:rFonts w:ascii="Arial" w:cs="Arial" w:eastAsia="Arial" w:hAnsi="Arial"/>
                <w:sz w:val="18"/>
                <w:szCs w:val="18"/>
                <w:color w:val="auto"/>
              </w:rPr>
              <w:t>Non-accelerated filer</w:t>
            </w:r>
          </w:p>
        </w:tc>
        <w:tc>
          <w:tcPr>
            <w:tcW w:w="210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Smaller reporting company </w:t>
            </w:r>
            <w:r>
              <w:rPr>
                <w:rFonts w:ascii="MS PGothic" w:cs="MS PGothic" w:eastAsia="MS PGothic" w:hAnsi="MS PGothic"/>
                <w:sz w:val="18"/>
                <w:szCs w:val="18"/>
                <w:color w:val="auto"/>
              </w:rPr>
              <w:t>☒</w:t>
            </w:r>
          </w:p>
        </w:tc>
      </w:tr>
      <w:tr>
        <w:trPr>
          <w:trHeight w:val="282"/>
        </w:trPr>
        <w:tc>
          <w:tcPr>
            <w:tcW w:w="18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900" w:type="dxa"/>
            <w:vAlign w:val="bottom"/>
            <w:gridSpan w:val="2"/>
          </w:tcPr>
          <w:p>
            <w:pPr>
              <w:jc w:val="right"/>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tc>
      </w:tr>
    </w:tbl>
    <w:p>
      <w:pPr>
        <w:spacing w:after="0" w:line="180" w:lineRule="exact"/>
        <w:rPr>
          <w:sz w:val="24"/>
          <w:szCs w:val="24"/>
          <w:color w:val="auto"/>
        </w:rPr>
      </w:pPr>
    </w:p>
    <w:p>
      <w:pPr>
        <w:spacing w:after="0" w:line="232"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48" w:lineRule="exact"/>
        <w:rPr>
          <w:sz w:val="24"/>
          <w:szCs w:val="24"/>
          <w:color w:val="auto"/>
        </w:rPr>
      </w:pPr>
    </w:p>
    <w:p>
      <w:pPr>
        <w:spacing w:after="0" w:line="207" w:lineRule="exact"/>
        <w:tabs>
          <w:tab w:leader="none" w:pos="8340" w:val="left"/>
          <w:tab w:leader="none" w:pos="90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6" w:lineRule="exact"/>
        <w:rPr>
          <w:sz w:val="24"/>
          <w:szCs w:val="24"/>
          <w:color w:val="auto"/>
        </w:rPr>
      </w:pPr>
    </w:p>
    <w:p>
      <w:pPr>
        <w:spacing w:after="0"/>
        <w:rPr>
          <w:sz w:val="20"/>
          <w:szCs w:val="20"/>
          <w:color w:val="auto"/>
        </w:rPr>
      </w:pPr>
      <w:r>
        <w:rPr>
          <w:rFonts w:ascii="Arial" w:cs="Arial" w:eastAsia="Arial" w:hAnsi="Arial"/>
          <w:sz w:val="18"/>
          <w:szCs w:val="18"/>
          <w:color w:val="auto"/>
        </w:rPr>
        <w:t>Total shares of common stock outstanding as of August 12, 2021: [35,153,749]</w:t>
      </w:r>
    </w:p>
    <w:p>
      <w:pPr>
        <w:sectPr>
          <w:pgSz w:w="11900" w:h="16838" w:orient="portrait"/>
          <w:cols w:equalWidth="0" w:num="1">
            <w:col w:w="11240"/>
          </w:cols>
          <w:pgMar w:left="320" w:top="1093" w:right="339" w:bottom="0" w:gutter="0" w:footer="0" w:header="0"/>
        </w:sectPr>
      </w:pPr>
    </w:p>
    <w:bookmarkStart w:id="1" w:name="page2"/>
    <w:bookmarkEnd w:id="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259715</wp:posOffset>
            </wp:positionV>
            <wp:extent cx="71329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95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302260</wp:posOffset>
            </wp:positionV>
            <wp:extent cx="713295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955" cy="25400"/>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720090</wp:posOffset>
            </wp:positionV>
            <wp:extent cx="713295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680" w:type="dxa"/>
            <w:vAlign w:val="bottom"/>
            <w:gridSpan w:val="2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7"/>
        </w:trPr>
        <w:tc>
          <w:tcPr>
            <w:tcW w:w="1140" w:type="dxa"/>
            <w:vAlign w:val="bottom"/>
            <w:tcBorders>
              <w:top w:val="single" w:sz="8" w:color="0000EE"/>
            </w:tcBorders>
            <w:gridSpan w:val="2"/>
          </w:tcPr>
          <w:p>
            <w:pPr>
              <w:spacing w:after="0"/>
              <w:rPr>
                <w:sz w:val="20"/>
                <w:szCs w:val="20"/>
                <w:color w:val="auto"/>
              </w:rPr>
            </w:pPr>
            <w:r>
              <w:rPr>
                <w:rFonts w:ascii="Arial" w:cs="Arial" w:eastAsia="Arial" w:hAnsi="Arial"/>
                <w:sz w:val="18"/>
                <w:szCs w:val="18"/>
                <w:b w:val="1"/>
                <w:bCs w:val="1"/>
                <w:color w:val="auto"/>
              </w:rPr>
              <w:t>INDEX</w:t>
            </w:r>
          </w:p>
        </w:tc>
        <w:tc>
          <w:tcPr>
            <w:tcW w:w="1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40" w:type="dxa"/>
            <w:vAlign w:val="bottom"/>
            <w:gridSpan w:val="12"/>
          </w:tcPr>
          <w:p>
            <w:pPr>
              <w:jc w:val="center"/>
              <w:ind w:right="3880"/>
              <w:spacing w:after="0"/>
              <w:rPr>
                <w:sz w:val="20"/>
                <w:szCs w:val="20"/>
                <w:color w:val="auto"/>
              </w:rPr>
            </w:pPr>
            <w:r>
              <w:rPr>
                <w:rFonts w:ascii="Arial" w:cs="Arial" w:eastAsia="Arial" w:hAnsi="Arial"/>
                <w:sz w:val="18"/>
                <w:szCs w:val="18"/>
                <w:b w:val="1"/>
                <w:bCs w:val="1"/>
                <w:color w:val="auto"/>
              </w:rPr>
              <w:t>KEMPHARM, INC.</w:t>
            </w: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60" w:type="dxa"/>
            <w:vAlign w:val="bottom"/>
            <w:gridSpan w:val="11"/>
          </w:tcPr>
          <w:p>
            <w:pPr>
              <w:jc w:val="center"/>
              <w:ind w:right="4460"/>
              <w:spacing w:after="0"/>
              <w:rPr>
                <w:sz w:val="20"/>
                <w:szCs w:val="20"/>
                <w:color w:val="auto"/>
              </w:rPr>
            </w:pPr>
            <w:r>
              <w:rPr>
                <w:rFonts w:ascii="Arial" w:cs="Arial" w:eastAsia="Arial" w:hAnsi="Arial"/>
                <w:sz w:val="18"/>
                <w:szCs w:val="18"/>
                <w:b w:val="1"/>
                <w:bCs w:val="1"/>
                <w:color w:val="auto"/>
                <w:w w:val="97"/>
              </w:rPr>
              <w:t>FORM 10-Q</w:t>
            </w: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Borders>
              <w:bottom w:val="single" w:sz="8" w:color="auto"/>
            </w:tcBorders>
            <w:gridSpan w:val="7"/>
          </w:tcPr>
          <w:p>
            <w:pPr>
              <w:ind w:left="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6380" w:type="dxa"/>
            <w:vAlign w:val="bottom"/>
            <w:gridSpan w:val="14"/>
            <w:shd w:val="clear" w:color="auto" w:fill="CCEEFF"/>
          </w:tcPr>
          <w:p>
            <w:pPr>
              <w:jc w:val="center"/>
              <w:ind w:right="3160"/>
              <w:spacing w:after="0" w:line="175" w:lineRule="exact"/>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 FINANCIAL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tcBorders>
              <w:bottom w:val="single" w:sz="8" w:color="CCEEFF"/>
            </w:tcBorders>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2140" w:type="dxa"/>
            <w:vAlign w:val="bottom"/>
            <w:tcBorders>
              <w:bottom w:val="single" w:sz="8" w:color="0000EE"/>
            </w:tcBorders>
            <w:gridSpan w:val="9"/>
            <w:shd w:val="clear" w:color="auto" w:fill="CCEEFF"/>
          </w:tcPr>
          <w:p>
            <w:pPr>
              <w:spacing w:after="0" w:line="175" w:lineRule="exact"/>
              <w:rPr>
                <w:rFonts w:ascii="Arial" w:cs="Arial" w:eastAsia="Arial" w:hAnsi="Arial"/>
                <w:sz w:val="18"/>
                <w:szCs w:val="18"/>
                <w:color w:val="0000EE"/>
                <w:w w:val="96"/>
              </w:rPr>
            </w:pPr>
            <w:hyperlink w:anchor="page4">
              <w:r>
                <w:rPr>
                  <w:rFonts w:ascii="Arial" w:cs="Arial" w:eastAsia="Arial" w:hAnsi="Arial"/>
                  <w:sz w:val="18"/>
                  <w:szCs w:val="18"/>
                  <w:color w:val="0000EE"/>
                  <w:w w:val="96"/>
                </w:rPr>
                <w:t>FINANCIAL STATEMENTS</w:t>
              </w:r>
            </w:hyperlink>
          </w:p>
        </w:tc>
        <w:tc>
          <w:tcPr>
            <w:tcW w:w="7400" w:type="dxa"/>
            <w:vAlign w:val="bottom"/>
            <w:tcBorders>
              <w:bottom w:val="single" w:sz="8" w:color="CCEEFF"/>
            </w:tcBorders>
            <w:gridSpan w:val="17"/>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80" w:type="dxa"/>
            <w:vAlign w:val="bottom"/>
            <w:gridSpan w:val="24"/>
          </w:tcPr>
          <w:p>
            <w:pPr>
              <w:spacing w:after="0" w:line="175" w:lineRule="exact"/>
              <w:rPr>
                <w:rFonts w:ascii="Arial" w:cs="Arial" w:eastAsia="Arial" w:hAnsi="Arial"/>
                <w:sz w:val="18"/>
                <w:szCs w:val="18"/>
                <w:color w:val="0000EE"/>
              </w:rPr>
            </w:pPr>
            <w:hyperlink w:anchor="page4">
              <w:r>
                <w:rPr>
                  <w:rFonts w:ascii="Arial" w:cs="Arial" w:eastAsia="Arial" w:hAnsi="Arial"/>
                  <w:sz w:val="18"/>
                  <w:szCs w:val="18"/>
                  <w:color w:val="0000EE"/>
                </w:rPr>
                <w:t>CONDENSED BALANCE SHEETS AS OF JUNE 30, 2021 (UNAUDITED) AND DECEMBER 31, 2020</w:t>
              </w:r>
            </w:hyperlink>
          </w:p>
        </w:tc>
        <w:tc>
          <w:tcPr>
            <w:tcW w:w="380" w:type="dxa"/>
            <w:vAlign w:val="bottom"/>
            <w:gridSpan w:val="5"/>
          </w:tcPr>
          <w:p>
            <w:pPr>
              <w:jc w:val="center"/>
              <w:ind w:left="90"/>
              <w:spacing w:after="0" w:line="175"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3</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4"/>
            <w:shd w:val="clear" w:color="auto" w:fill="CCEEFF"/>
          </w:tcPr>
          <w:p>
            <w:pPr>
              <w:spacing w:after="0" w:line="175" w:lineRule="exact"/>
              <w:rPr>
                <w:rFonts w:ascii="Arial" w:cs="Arial" w:eastAsia="Arial" w:hAnsi="Arial"/>
                <w:sz w:val="18"/>
                <w:szCs w:val="18"/>
                <w:color w:val="0000EE"/>
                <w:w w:val="97"/>
              </w:rPr>
            </w:pPr>
            <w:hyperlink w:anchor="page5">
              <w:r>
                <w:rPr>
                  <w:rFonts w:ascii="Arial" w:cs="Arial" w:eastAsia="Arial" w:hAnsi="Arial"/>
                  <w:sz w:val="18"/>
                  <w:szCs w:val="18"/>
                  <w:color w:val="0000EE"/>
                  <w:w w:val="97"/>
                </w:rPr>
                <w:t>UNAUDITED CONDENSED STATEMENTS OF OPERATIONS FOR THE THREE AND SIX MONTHS ENDED JUNE 30,</w:t>
              </w:r>
            </w:hyperlink>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0000EE"/>
            </w:tcBorders>
            <w:gridSpan w:val="4"/>
            <w:shd w:val="clear" w:color="auto" w:fill="CCEEFF"/>
          </w:tcPr>
          <w:p>
            <w:pPr>
              <w:spacing w:after="0" w:line="195"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2021 AND 2020</w:t>
              </w:r>
            </w:hyperlink>
          </w:p>
        </w:tc>
        <w:tc>
          <w:tcPr>
            <w:tcW w:w="7940" w:type="dxa"/>
            <w:vAlign w:val="bottom"/>
            <w:tcBorders>
              <w:top w:val="single" w:sz="8" w:color="0000EE"/>
            </w:tcBorders>
            <w:gridSpan w:val="18"/>
            <w:shd w:val="clear" w:color="auto" w:fill="CCEEFF"/>
          </w:tcPr>
          <w:p>
            <w:pPr>
              <w:spacing w:after="0"/>
              <w:rPr>
                <w:sz w:val="16"/>
                <w:szCs w:val="16"/>
                <w:color w:val="auto"/>
              </w:rPr>
            </w:pPr>
          </w:p>
        </w:tc>
        <w:tc>
          <w:tcPr>
            <w:tcW w:w="240" w:type="dxa"/>
            <w:vAlign w:val="bottom"/>
            <w:tcBorders>
              <w:top w:val="single" w:sz="8" w:color="CCEEFF"/>
            </w:tcBorders>
            <w:gridSpan w:val="2"/>
            <w:shd w:val="clear" w:color="auto" w:fill="CCEEFF"/>
          </w:tcPr>
          <w:p>
            <w:pPr>
              <w:spacing w:after="0"/>
              <w:rPr>
                <w:sz w:val="16"/>
                <w:szCs w:val="16"/>
                <w:color w:val="auto"/>
              </w:rPr>
            </w:pPr>
          </w:p>
        </w:tc>
        <w:tc>
          <w:tcPr>
            <w:tcW w:w="240" w:type="dxa"/>
            <w:vAlign w:val="bottom"/>
            <w:tcBorders>
              <w:top w:val="single" w:sz="8" w:color="CCEEFF"/>
            </w:tcBorders>
            <w:gridSpan w:val="3"/>
            <w:shd w:val="clear" w:color="auto" w:fill="CCEEFF"/>
          </w:tcPr>
          <w:p>
            <w:pPr>
              <w:spacing w:after="0"/>
              <w:rPr>
                <w:sz w:val="16"/>
                <w:szCs w:val="16"/>
                <w:color w:val="auto"/>
              </w:rPr>
            </w:pPr>
          </w:p>
        </w:tc>
        <w:tc>
          <w:tcPr>
            <w:tcW w:w="140" w:type="dxa"/>
            <w:vAlign w:val="bottom"/>
            <w:tcBorders>
              <w:top w:val="single" w:sz="8" w:color="CCEEFF"/>
            </w:tcBorders>
            <w:gridSpan w:val="2"/>
            <w:shd w:val="clear" w:color="auto" w:fill="CCEEFF"/>
          </w:tcPr>
          <w:p>
            <w:pPr>
              <w:jc w:val="center"/>
              <w:ind w:right="60"/>
              <w:spacing w:after="0" w:line="195"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4</w:t>
              </w:r>
            </w:hyperlink>
          </w:p>
        </w:tc>
        <w:tc>
          <w:tcPr>
            <w:tcW w:w="4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520" w:type="dxa"/>
            <w:vAlign w:val="bottom"/>
            <w:tcBorders>
              <w:bottom w:val="single" w:sz="8" w:color="0000EE"/>
            </w:tcBorders>
            <w:gridSpan w:val="20"/>
          </w:tcPr>
          <w:p>
            <w:pPr>
              <w:spacing w:after="0" w:line="175"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STATEMENTS OF STOCKHOLDERS' EQUITY (DEFICIT) FOR THE THREE AND</w:t>
              </w:r>
            </w:hyperlink>
          </w:p>
        </w:tc>
        <w:tc>
          <w:tcPr>
            <w:tcW w:w="860" w:type="dxa"/>
            <w:vAlign w:val="bottom"/>
            <w:gridSpan w:val="4"/>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380" w:type="dxa"/>
            <w:vAlign w:val="bottom"/>
            <w:gridSpan w:val="24"/>
          </w:tcPr>
          <w:p>
            <w:pPr>
              <w:spacing w:after="0" w:line="195" w:lineRule="exact"/>
              <w:rPr>
                <w:rFonts w:ascii="Arial" w:cs="Arial" w:eastAsia="Arial" w:hAnsi="Arial"/>
                <w:sz w:val="18"/>
                <w:szCs w:val="18"/>
                <w:color w:val="0000EE"/>
              </w:rPr>
            </w:pPr>
            <w:hyperlink w:anchor="page6">
              <w:r>
                <w:rPr>
                  <w:rFonts w:ascii="Arial" w:cs="Arial" w:eastAsia="Arial" w:hAnsi="Arial"/>
                  <w:sz w:val="18"/>
                  <w:szCs w:val="18"/>
                  <w:color w:val="0000EE"/>
                </w:rPr>
                <w:t>SIX MONTHS ENDED JUNE 30, 2021 AND 2020</w:t>
              </w:r>
            </w:hyperlink>
          </w:p>
        </w:tc>
        <w:tc>
          <w:tcPr>
            <w:tcW w:w="380" w:type="dxa"/>
            <w:vAlign w:val="bottom"/>
            <w:gridSpan w:val="5"/>
          </w:tcPr>
          <w:p>
            <w:pPr>
              <w:jc w:val="center"/>
              <w:ind w:left="90"/>
              <w:spacing w:after="0" w:line="195"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5</w:t>
              </w:r>
            </w:hyperlink>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380" w:type="dxa"/>
            <w:vAlign w:val="bottom"/>
            <w:gridSpan w:val="24"/>
            <w:shd w:val="clear" w:color="auto" w:fill="CCEEFF"/>
          </w:tcPr>
          <w:p>
            <w:pPr>
              <w:spacing w:after="0" w:line="175"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UNAUDITED CONDENSED STATEMENTS OF CASH FLOWS FOR THE SIX MONTHS ENDED JUNE 30, 2021 AND 2020</w:t>
              </w:r>
            </w:hyperlink>
          </w:p>
        </w:tc>
        <w:tc>
          <w:tcPr>
            <w:tcW w:w="380" w:type="dxa"/>
            <w:vAlign w:val="bottom"/>
            <w:gridSpan w:val="5"/>
            <w:shd w:val="clear" w:color="auto" w:fill="CCEEFF"/>
          </w:tcPr>
          <w:p>
            <w:pPr>
              <w:jc w:val="center"/>
              <w:ind w:left="90"/>
              <w:spacing w:after="0" w:line="175"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7</w:t>
              </w:r>
            </w:hyperlink>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360" w:type="dxa"/>
            <w:vAlign w:val="bottom"/>
            <w:gridSpan w:val="23"/>
          </w:tcPr>
          <w:p>
            <w:pPr>
              <w:spacing w:after="0" w:line="175"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FINANCIAL STATEMENTS</w:t>
              </w:r>
            </w:hyperlink>
          </w:p>
        </w:tc>
        <w:tc>
          <w:tcPr>
            <w:tcW w:w="20" w:type="dxa"/>
            <w:vAlign w:val="bottom"/>
          </w:tcPr>
          <w:p>
            <w:pPr>
              <w:spacing w:after="0"/>
              <w:rPr>
                <w:sz w:val="15"/>
                <w:szCs w:val="15"/>
                <w:color w:val="auto"/>
              </w:rPr>
            </w:pPr>
          </w:p>
        </w:tc>
        <w:tc>
          <w:tcPr>
            <w:tcW w:w="240" w:type="dxa"/>
            <w:vAlign w:val="bottom"/>
            <w:gridSpan w:val="3"/>
          </w:tcPr>
          <w:p>
            <w:pPr>
              <w:spacing w:after="0"/>
              <w:rPr>
                <w:sz w:val="15"/>
                <w:szCs w:val="15"/>
                <w:color w:val="auto"/>
              </w:rPr>
            </w:pPr>
          </w:p>
        </w:tc>
        <w:tc>
          <w:tcPr>
            <w:tcW w:w="140" w:type="dxa"/>
            <w:vAlign w:val="bottom"/>
            <w:gridSpan w:val="2"/>
          </w:tcPr>
          <w:p>
            <w:pPr>
              <w:jc w:val="center"/>
              <w:ind w:right="60"/>
              <w:spacing w:after="0" w:line="175"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8</w:t>
              </w:r>
            </w:hyperlink>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34</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8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8860" w:type="dxa"/>
            <w:vAlign w:val="bottom"/>
            <w:gridSpan w:val="23"/>
          </w:tcPr>
          <w:p>
            <w:pPr>
              <w:spacing w:after="0" w:line="175" w:lineRule="exact"/>
              <w:rPr>
                <w:rFonts w:ascii="Arial" w:cs="Arial" w:eastAsia="Arial" w:hAnsi="Arial"/>
                <w:sz w:val="18"/>
                <w:szCs w:val="18"/>
                <w:color w:val="0000EE"/>
              </w:rPr>
            </w:pPr>
            <w:hyperlink w:anchor="page56">
              <w:r>
                <w:rPr>
                  <w:rFonts w:ascii="Arial" w:cs="Arial" w:eastAsia="Arial" w:hAnsi="Arial"/>
                  <w:sz w:val="18"/>
                  <w:szCs w:val="18"/>
                  <w:color w:val="0000EE"/>
                </w:rPr>
                <w:t>QUANTITATIVE AND QUALITATIVE DISCLOSURES ABOUT MARKET RISK</w:t>
              </w:r>
            </w:hyperlink>
          </w:p>
        </w:tc>
        <w:tc>
          <w:tcPr>
            <w:tcW w:w="680" w:type="dxa"/>
            <w:vAlign w:val="bottom"/>
            <w:gridSpan w:val="3"/>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51</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154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56">
              <w:r>
                <w:rPr>
                  <w:rFonts w:ascii="Arial" w:cs="Arial" w:eastAsia="Arial" w:hAnsi="Arial"/>
                  <w:sz w:val="18"/>
                  <w:szCs w:val="18"/>
                  <w:color w:val="0000EE"/>
                </w:rPr>
                <w:t>CONTROLS AND PROCEDURES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51</w:t>
              </w:r>
            </w:hyperlink>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360" w:type="dxa"/>
            <w:vAlign w:val="bottom"/>
            <w:gridSpan w:val="13"/>
            <w:shd w:val="clear" w:color="auto" w:fill="CCEEFF"/>
          </w:tcPr>
          <w:p>
            <w:pPr>
              <w:jc w:val="center"/>
              <w:ind w:right="3180"/>
              <w:spacing w:after="0" w:line="175" w:lineRule="exact"/>
              <w:rPr>
                <w:rFonts w:ascii="Arial" w:cs="Arial" w:eastAsia="Arial" w:hAnsi="Arial"/>
                <w:sz w:val="18"/>
                <w:szCs w:val="18"/>
                <w:b w:val="1"/>
                <w:bCs w:val="1"/>
                <w:color w:val="0000EE"/>
              </w:rPr>
            </w:pPr>
            <w:hyperlink w:anchor="page57">
              <w:r>
                <w:rPr>
                  <w:rFonts w:ascii="Arial" w:cs="Arial" w:eastAsia="Arial" w:hAnsi="Arial"/>
                  <w:sz w:val="18"/>
                  <w:szCs w:val="18"/>
                  <w:b w:val="1"/>
                  <w:bCs w:val="1"/>
                  <w:color w:val="0000EE"/>
                </w:rPr>
                <w:t>PART II — OTHER INFORMATION</w:t>
              </w:r>
            </w:hyperlink>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1540" w:type="dxa"/>
            <w:vAlign w:val="bottom"/>
            <w:tcBorders>
              <w:top w:val="single" w:sz="8" w:color="0000EE"/>
            </w:tcBorders>
          </w:tcPr>
          <w:p>
            <w:pPr>
              <w:spacing w:after="0"/>
              <w:rPr>
                <w:sz w:val="18"/>
                <w:szCs w:val="18"/>
                <w:color w:val="auto"/>
              </w:rPr>
            </w:pPr>
          </w:p>
        </w:tc>
        <w:tc>
          <w:tcPr>
            <w:tcW w:w="6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1.</w:t>
            </w: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LEGAL PROCEEDINGS</w:t>
              </w:r>
            </w:hyperlink>
          </w:p>
        </w:tc>
        <w:tc>
          <w:tcPr>
            <w:tcW w:w="420" w:type="dxa"/>
            <w:vAlign w:val="bottom"/>
            <w:gridSpan w:val="6"/>
            <w:shd w:val="clear" w:color="auto" w:fill="CCEEFF"/>
          </w:tcPr>
          <w:p>
            <w:pPr>
              <w:jc w:val="center"/>
              <w:ind w:left="70"/>
              <w:spacing w:after="0" w:line="175"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52</w:t>
              </w:r>
            </w:hyperlink>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1A.</w:t>
            </w:r>
          </w:p>
        </w:tc>
        <w:tc>
          <w:tcPr>
            <w:tcW w:w="1860" w:type="dxa"/>
            <w:vAlign w:val="bottom"/>
            <w:gridSpan w:val="7"/>
          </w:tcPr>
          <w:p>
            <w:pPr>
              <w:spacing w:after="0" w:line="175" w:lineRule="exact"/>
              <w:rPr>
                <w:rFonts w:ascii="Arial" w:cs="Arial" w:eastAsia="Arial" w:hAnsi="Arial"/>
                <w:sz w:val="18"/>
                <w:szCs w:val="18"/>
                <w:color w:val="0000EE"/>
              </w:rPr>
            </w:pPr>
            <w:hyperlink w:anchor="page57">
              <w:r>
                <w:rPr>
                  <w:rFonts w:ascii="Arial" w:cs="Arial" w:eastAsia="Arial" w:hAnsi="Arial"/>
                  <w:sz w:val="18"/>
                  <w:szCs w:val="18"/>
                  <w:color w:val="0000EE"/>
                </w:rPr>
                <w:t>RISK FACTORS</w:t>
              </w:r>
            </w:hyperlink>
          </w:p>
        </w:tc>
        <w:tc>
          <w:tcPr>
            <w:tcW w:w="7680" w:type="dxa"/>
            <w:vAlign w:val="bottom"/>
            <w:gridSpan w:val="19"/>
          </w:tcPr>
          <w:p>
            <w:pPr>
              <w:spacing w:after="0"/>
              <w:rPr>
                <w:sz w:val="15"/>
                <w:szCs w:val="15"/>
                <w:color w:val="auto"/>
              </w:rPr>
            </w:pPr>
          </w:p>
        </w:tc>
        <w:tc>
          <w:tcPr>
            <w:tcW w:w="420" w:type="dxa"/>
            <w:vAlign w:val="bottom"/>
            <w:gridSpan w:val="6"/>
          </w:tcPr>
          <w:p>
            <w:pPr>
              <w:jc w:val="center"/>
              <w:ind w:left="70"/>
              <w:spacing w:after="0" w:line="175"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52</w:t>
              </w:r>
            </w:hyperlink>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2.</w:t>
            </w:r>
          </w:p>
        </w:tc>
        <w:tc>
          <w:tcPr>
            <w:tcW w:w="6040" w:type="dxa"/>
            <w:vAlign w:val="bottom"/>
            <w:gridSpan w:val="17"/>
            <w:shd w:val="clear" w:color="auto" w:fill="CCEEFF"/>
          </w:tcPr>
          <w:p>
            <w:pPr>
              <w:spacing w:after="0" w:line="175" w:lineRule="exact"/>
              <w:rPr>
                <w:rFonts w:ascii="Arial" w:cs="Arial" w:eastAsia="Arial" w:hAnsi="Arial"/>
                <w:sz w:val="18"/>
                <w:szCs w:val="18"/>
                <w:color w:val="0000EE"/>
                <w:w w:val="93"/>
              </w:rPr>
            </w:pPr>
            <w:hyperlink w:anchor="page108">
              <w:r>
                <w:rPr>
                  <w:rFonts w:ascii="Arial" w:cs="Arial" w:eastAsia="Arial" w:hAnsi="Arial"/>
                  <w:sz w:val="18"/>
                  <w:szCs w:val="18"/>
                  <w:color w:val="0000EE"/>
                  <w:w w:val="93"/>
                </w:rPr>
                <w:t>UNREGISTERED SALES OF EQUITY SECURITIES AND USE OF PROCEEDS</w:t>
              </w:r>
            </w:hyperlink>
          </w:p>
        </w:tc>
        <w:tc>
          <w:tcPr>
            <w:tcW w:w="3500" w:type="dxa"/>
            <w:vAlign w:val="bottom"/>
            <w:gridSpan w:val="9"/>
            <w:shd w:val="clear" w:color="auto" w:fill="CCEEFF"/>
          </w:tcPr>
          <w:p>
            <w:pPr>
              <w:spacing w:after="0"/>
              <w:rPr>
                <w:sz w:val="15"/>
                <w:szCs w:val="15"/>
                <w:color w:val="auto"/>
              </w:rPr>
            </w:pPr>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1540" w:type="dxa"/>
            <w:vAlign w:val="bottom"/>
            <w:tcBorders>
              <w:top w:val="single" w:sz="8" w:color="0000EE"/>
            </w:tcBorders>
            <w:shd w:val="clear" w:color="auto" w:fill="CCEEFF"/>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3.</w:t>
            </w:r>
          </w:p>
        </w:tc>
        <w:tc>
          <w:tcPr>
            <w:tcW w:w="6040" w:type="dxa"/>
            <w:vAlign w:val="bottom"/>
            <w:gridSpan w:val="17"/>
          </w:tcPr>
          <w:p>
            <w:pPr>
              <w:spacing w:after="0" w:line="175" w:lineRule="exact"/>
              <w:rPr>
                <w:rFonts w:ascii="Arial" w:cs="Arial" w:eastAsia="Arial" w:hAnsi="Arial"/>
                <w:sz w:val="18"/>
                <w:szCs w:val="18"/>
                <w:color w:val="0000EE"/>
              </w:rPr>
            </w:pPr>
            <w:hyperlink w:anchor="page108">
              <w:r>
                <w:rPr>
                  <w:rFonts w:ascii="Arial" w:cs="Arial" w:eastAsia="Arial" w:hAnsi="Arial"/>
                  <w:sz w:val="18"/>
                  <w:szCs w:val="18"/>
                  <w:color w:val="0000EE"/>
                </w:rPr>
                <w:t>DEFAULTS UPON SENIOR SECURITIES</w:t>
              </w:r>
            </w:hyperlink>
          </w:p>
        </w:tc>
        <w:tc>
          <w:tcPr>
            <w:tcW w:w="3500" w:type="dxa"/>
            <w:vAlign w:val="bottom"/>
            <w:gridSpan w:val="9"/>
          </w:tcPr>
          <w:p>
            <w:pPr>
              <w:spacing w:after="0"/>
              <w:rPr>
                <w:sz w:val="15"/>
                <w:szCs w:val="15"/>
                <w:color w:val="auto"/>
              </w:rPr>
            </w:pPr>
          </w:p>
        </w:tc>
        <w:tc>
          <w:tcPr>
            <w:tcW w:w="560" w:type="dxa"/>
            <w:vAlign w:val="bottom"/>
            <w:gridSpan w:val="7"/>
          </w:tcPr>
          <w:p>
            <w:pPr>
              <w:jc w:val="center"/>
              <w:spacing w:after="0" w:line="175"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4.</w:t>
            </w: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108">
              <w:r>
                <w:rPr>
                  <w:rFonts w:ascii="Arial" w:cs="Arial" w:eastAsia="Arial" w:hAnsi="Arial"/>
                  <w:sz w:val="18"/>
                  <w:szCs w:val="18"/>
                  <w:color w:val="0000EE"/>
                </w:rPr>
                <w:t>MINE SAFETY DISCLOSURES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5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0" w:type="dxa"/>
            <w:vAlign w:val="bottom"/>
            <w:vMerge w:val="continue"/>
          </w:tcPr>
          <w:p>
            <w:pPr>
              <w:spacing w:after="0"/>
              <w:rPr>
                <w:sz w:val="15"/>
                <w:szCs w:val="15"/>
                <w:color w:val="auto"/>
              </w:rPr>
            </w:pPr>
          </w:p>
        </w:tc>
        <w:tc>
          <w:tcPr>
            <w:tcW w:w="1120" w:type="dxa"/>
            <w:vAlign w:val="bottom"/>
          </w:tcPr>
          <w:p>
            <w:pPr>
              <w:spacing w:after="0" w:line="175" w:lineRule="exact"/>
              <w:rPr>
                <w:sz w:val="20"/>
                <w:szCs w:val="20"/>
                <w:color w:val="auto"/>
              </w:rPr>
            </w:pPr>
            <w:r>
              <w:rPr>
                <w:rFonts w:ascii="Arial" w:cs="Arial" w:eastAsia="Arial" w:hAnsi="Arial"/>
                <w:sz w:val="18"/>
                <w:szCs w:val="18"/>
                <w:color w:val="auto"/>
              </w:rPr>
              <w:t>ITEM 5.</w:t>
            </w:r>
          </w:p>
        </w:tc>
        <w:tc>
          <w:tcPr>
            <w:tcW w:w="2420" w:type="dxa"/>
            <w:vAlign w:val="bottom"/>
            <w:gridSpan w:val="10"/>
          </w:tcPr>
          <w:p>
            <w:pPr>
              <w:spacing w:after="0" w:line="175" w:lineRule="exact"/>
              <w:rPr>
                <w:rFonts w:ascii="Arial" w:cs="Arial" w:eastAsia="Arial" w:hAnsi="Arial"/>
                <w:sz w:val="18"/>
                <w:szCs w:val="18"/>
                <w:color w:val="0000EE"/>
              </w:rPr>
            </w:pPr>
            <w:hyperlink w:anchor="page108">
              <w:r>
                <w:rPr>
                  <w:rFonts w:ascii="Arial" w:cs="Arial" w:eastAsia="Arial" w:hAnsi="Arial"/>
                  <w:sz w:val="18"/>
                  <w:szCs w:val="18"/>
                  <w:color w:val="0000EE"/>
                </w:rPr>
                <w:t>OTHER INFORMATION</w:t>
              </w:r>
            </w:hyperlink>
          </w:p>
        </w:tc>
        <w:tc>
          <w:tcPr>
            <w:tcW w:w="7120" w:type="dxa"/>
            <w:vAlign w:val="bottom"/>
            <w:gridSpan w:val="16"/>
          </w:tcPr>
          <w:p>
            <w:pPr>
              <w:spacing w:after="0"/>
              <w:rPr>
                <w:sz w:val="15"/>
                <w:szCs w:val="15"/>
                <w:color w:val="auto"/>
              </w:rPr>
            </w:pPr>
          </w:p>
        </w:tc>
        <w:tc>
          <w:tcPr>
            <w:tcW w:w="560" w:type="dxa"/>
            <w:vAlign w:val="bottom"/>
            <w:gridSpan w:val="7"/>
          </w:tcPr>
          <w:p>
            <w:pPr>
              <w:jc w:val="center"/>
              <w:spacing w:after="0" w:line="175" w:lineRule="exact"/>
              <w:rPr>
                <w:rFonts w:ascii="Arial" w:cs="Arial" w:eastAsia="Arial" w:hAnsi="Arial"/>
                <w:sz w:val="18"/>
                <w:szCs w:val="18"/>
                <w:color w:val="0000EE"/>
                <w:w w:val="86"/>
              </w:rPr>
            </w:pPr>
            <w:hyperlink w:anchor="page108">
              <w:r>
                <w:rPr>
                  <w:rFonts w:ascii="Arial" w:cs="Arial" w:eastAsia="Arial" w:hAnsi="Arial"/>
                  <w:sz w:val="18"/>
                  <w:szCs w:val="18"/>
                  <w:color w:val="0000EE"/>
                  <w:w w:val="86"/>
                </w:rPr>
                <w:t>103</w:t>
              </w:r>
            </w:hyperlink>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continue"/>
          </w:tcPr>
          <w:p>
            <w:pPr>
              <w:spacing w:after="0"/>
              <w:rPr>
                <w:sz w:val="16"/>
                <w:szCs w:val="16"/>
                <w:color w:val="auto"/>
              </w:rPr>
            </w:pPr>
          </w:p>
        </w:tc>
        <w:tc>
          <w:tcPr>
            <w:tcW w:w="1120" w:type="dxa"/>
            <w:vAlign w:val="bottom"/>
            <w:shd w:val="clear" w:color="auto" w:fill="CCEEFF"/>
          </w:tcPr>
          <w:p>
            <w:pPr>
              <w:spacing w:after="0" w:line="175" w:lineRule="exact"/>
              <w:rPr>
                <w:sz w:val="20"/>
                <w:szCs w:val="20"/>
                <w:color w:val="auto"/>
              </w:rPr>
            </w:pPr>
            <w:r>
              <w:rPr>
                <w:rFonts w:ascii="Arial" w:cs="Arial" w:eastAsia="Arial" w:hAnsi="Arial"/>
                <w:sz w:val="18"/>
                <w:szCs w:val="18"/>
                <w:color w:val="auto"/>
              </w:rPr>
              <w:t>ITEM 6.</w:t>
            </w: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109">
              <w:r>
                <w:rPr>
                  <w:rFonts w:ascii="Arial" w:cs="Arial" w:eastAsia="Arial" w:hAnsi="Arial"/>
                  <w:sz w:val="18"/>
                  <w:szCs w:val="18"/>
                  <w:color w:val="0000EE"/>
                </w:rPr>
                <w:t>EXHIBITS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09">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154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8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9540" w:type="dxa"/>
            <w:vAlign w:val="bottom"/>
            <w:gridSpan w:val="26"/>
            <w:shd w:val="clear" w:color="auto" w:fill="CCEEFF"/>
          </w:tcPr>
          <w:p>
            <w:pPr>
              <w:spacing w:after="0" w:line="175" w:lineRule="exact"/>
              <w:rPr>
                <w:rFonts w:ascii="Arial" w:cs="Arial" w:eastAsia="Arial" w:hAnsi="Arial"/>
                <w:sz w:val="18"/>
                <w:szCs w:val="18"/>
                <w:color w:val="0000EE"/>
              </w:rPr>
            </w:pPr>
            <w:hyperlink w:anchor="page110">
              <w:r>
                <w:rPr>
                  <w:rFonts w:ascii="Arial" w:cs="Arial" w:eastAsia="Arial" w:hAnsi="Arial"/>
                  <w:sz w:val="18"/>
                  <w:szCs w:val="18"/>
                  <w:color w:val="0000EE"/>
                </w:rPr>
                <w:t>SIGNATURES</w:t>
              </w:r>
            </w:hyperlink>
          </w:p>
        </w:tc>
        <w:tc>
          <w:tcPr>
            <w:tcW w:w="560" w:type="dxa"/>
            <w:vAlign w:val="bottom"/>
            <w:gridSpan w:val="7"/>
            <w:shd w:val="clear" w:color="auto" w:fill="CCEEFF"/>
          </w:tcPr>
          <w:p>
            <w:pPr>
              <w:jc w:val="center"/>
              <w:spacing w:after="0" w:line="175" w:lineRule="exact"/>
              <w:rPr>
                <w:rFonts w:ascii="Arial" w:cs="Arial" w:eastAsia="Arial" w:hAnsi="Arial"/>
                <w:sz w:val="18"/>
                <w:szCs w:val="18"/>
                <w:color w:val="0000EE"/>
                <w:w w:val="86"/>
              </w:rPr>
            </w:pPr>
            <w:hyperlink w:anchor="page110">
              <w:r>
                <w:rPr>
                  <w:rFonts w:ascii="Arial" w:cs="Arial" w:eastAsia="Arial" w:hAnsi="Arial"/>
                  <w:sz w:val="18"/>
                  <w:szCs w:val="18"/>
                  <w:color w:val="0000EE"/>
                  <w:w w:val="86"/>
                </w:rPr>
                <w:t>105</w:t>
              </w:r>
            </w:hyperlink>
          </w:p>
        </w:tc>
        <w:tc>
          <w:tcPr>
            <w:tcW w:w="0" w:type="dxa"/>
            <w:vAlign w:val="bottom"/>
          </w:tcPr>
          <w:p>
            <w:pPr>
              <w:spacing w:after="0"/>
              <w:rPr>
                <w:sz w:val="1"/>
                <w:szCs w:val="1"/>
                <w:color w:val="auto"/>
              </w:rPr>
            </w:pPr>
          </w:p>
        </w:tc>
      </w:tr>
      <w:tr>
        <w:trPr>
          <w:trHeight w:val="571"/>
        </w:trPr>
        <w:tc>
          <w:tcPr>
            <w:tcW w:w="20" w:type="dxa"/>
            <w:vAlign w:val="bottom"/>
          </w:tcPr>
          <w:p>
            <w:pPr>
              <w:spacing w:after="0"/>
              <w:rPr>
                <w:sz w:val="24"/>
                <w:szCs w:val="24"/>
                <w:color w:val="auto"/>
              </w:rPr>
            </w:pPr>
          </w:p>
        </w:tc>
        <w:tc>
          <w:tcPr>
            <w:tcW w:w="112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260" w:type="dxa"/>
            <w:vAlign w:val="bottom"/>
            <w:tcBorders>
              <w:top w:val="single" w:sz="8" w:color="CCEEFF"/>
              <w:bottom w:val="single" w:sz="8" w:color="auto"/>
            </w:tcBorders>
          </w:tcPr>
          <w:p>
            <w:pPr>
              <w:spacing w:after="0"/>
              <w:rPr>
                <w:sz w:val="24"/>
                <w:szCs w:val="24"/>
                <w:color w:val="auto"/>
              </w:rPr>
            </w:pPr>
          </w:p>
        </w:tc>
        <w:tc>
          <w:tcPr>
            <w:tcW w:w="28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c>
          <w:tcPr>
            <w:tcW w:w="620" w:type="dxa"/>
            <w:vAlign w:val="bottom"/>
            <w:tcBorders>
              <w:top w:val="single" w:sz="8" w:color="CCEEFF"/>
              <w:bottom w:val="single" w:sz="8" w:color="auto"/>
            </w:tcBorders>
          </w:tcPr>
          <w:p>
            <w:pPr>
              <w:spacing w:after="0"/>
              <w:rPr>
                <w:sz w:val="24"/>
                <w:szCs w:val="24"/>
                <w:color w:val="auto"/>
              </w:rPr>
            </w:pPr>
          </w:p>
        </w:tc>
        <w:tc>
          <w:tcPr>
            <w:tcW w:w="6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1480" w:type="dxa"/>
            <w:vAlign w:val="bottom"/>
            <w:tcBorders>
              <w:top w:val="single" w:sz="8" w:color="CCEEFF"/>
              <w:bottom w:val="single" w:sz="8" w:color="auto"/>
            </w:tcBorders>
          </w:tcPr>
          <w:p>
            <w:pPr>
              <w:spacing w:after="0"/>
              <w:rPr>
                <w:sz w:val="24"/>
                <w:szCs w:val="24"/>
                <w:color w:val="auto"/>
              </w:rPr>
            </w:pPr>
          </w:p>
        </w:tc>
        <w:tc>
          <w:tcPr>
            <w:tcW w:w="8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7"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980" w:type="dxa"/>
            <w:vAlign w:val="bottom"/>
          </w:tcPr>
          <w:p>
            <w:pPr>
              <w:jc w:val="center"/>
              <w:ind w:left="3130"/>
              <w:spacing w:after="0"/>
              <w:rPr>
                <w:sz w:val="20"/>
                <w:szCs w:val="20"/>
                <w:color w:val="auto"/>
              </w:rPr>
            </w:pPr>
            <w:r>
              <w:rPr>
                <w:rFonts w:ascii="Arial" w:cs="Arial" w:eastAsia="Arial" w:hAnsi="Arial"/>
                <w:sz w:val="18"/>
                <w:szCs w:val="18"/>
                <w:b w:val="1"/>
                <w:bCs w:val="1"/>
                <w:color w:val="auto"/>
              </w:rPr>
              <w:t>PART I — FINANCIAL INFORMATION</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2"/>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980" w:type="dxa"/>
            <w:vAlign w:val="bottom"/>
          </w:tcPr>
          <w:p>
            <w:pPr>
              <w:jc w:val="center"/>
              <w:ind w:left="3130"/>
              <w:spacing w:after="0"/>
              <w:rPr>
                <w:sz w:val="20"/>
                <w:szCs w:val="20"/>
                <w:color w:val="auto"/>
              </w:rPr>
            </w:pPr>
            <w:r>
              <w:rPr>
                <w:rFonts w:ascii="Arial" w:cs="Arial" w:eastAsia="Arial" w:hAnsi="Arial"/>
                <w:sz w:val="18"/>
                <w:szCs w:val="18"/>
                <w:b w:val="1"/>
                <w:bCs w:val="1"/>
                <w:color w:val="auto"/>
              </w:rPr>
              <w:t>KEMPHARM, INC.</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jc w:val="center"/>
              <w:ind w:left="3150"/>
              <w:spacing w:after="0"/>
              <w:rPr>
                <w:sz w:val="20"/>
                <w:szCs w:val="20"/>
                <w:color w:val="auto"/>
              </w:rPr>
            </w:pPr>
            <w:r>
              <w:rPr>
                <w:rFonts w:ascii="Arial" w:cs="Arial" w:eastAsia="Arial" w:hAnsi="Arial"/>
                <w:sz w:val="18"/>
                <w:szCs w:val="18"/>
                <w:b w:val="1"/>
                <w:bCs w:val="1"/>
                <w:color w:val="auto"/>
                <w:w w:val="97"/>
              </w:rPr>
              <w:t>CONDENSED BALANCE SHEETS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80" w:type="dxa"/>
            <w:vAlign w:val="bottom"/>
          </w:tcPr>
          <w:p>
            <w:pPr>
              <w:jc w:val="center"/>
              <w:ind w:left="3130"/>
              <w:spacing w:after="0"/>
              <w:rPr>
                <w:sz w:val="20"/>
                <w:szCs w:val="20"/>
                <w:color w:val="auto"/>
              </w:rPr>
            </w:pPr>
            <w:r>
              <w:rPr>
                <w:rFonts w:ascii="Arial" w:cs="Arial" w:eastAsia="Arial" w:hAnsi="Arial"/>
                <w:sz w:val="18"/>
                <w:szCs w:val="18"/>
                <w:b w:val="1"/>
                <w:bCs w:val="1"/>
                <w:color w:val="auto"/>
                <w:w w:val="88"/>
              </w:rPr>
              <w:t>(in thousands, except share and par value amounts)</w:t>
            </w:r>
          </w:p>
        </w:tc>
        <w:tc>
          <w:tcPr>
            <w:tcW w:w="1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20" w:type="dxa"/>
            <w:vAlign w:val="bottom"/>
          </w:tcPr>
          <w:p>
            <w:pPr>
              <w:spacing w:after="0"/>
              <w:rPr>
                <w:sz w:val="24"/>
                <w:szCs w:val="24"/>
                <w:color w:val="auto"/>
              </w:rPr>
            </w:pPr>
          </w:p>
        </w:tc>
        <w:tc>
          <w:tcPr>
            <w:tcW w:w="7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June 30,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right"/>
              <w:ind w:right="23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9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89"/>
              </w:rPr>
              <w:t>2021</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jc w:val="center"/>
              <w:ind w:right="21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132,295</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4,213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Accounts and other receivables</w:t>
            </w: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1,888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2,579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1,998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1,481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Restricted cash</w:t>
            </w:r>
          </w:p>
        </w:tc>
        <w:tc>
          <w:tcPr>
            <w:tcW w:w="1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136,181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8,382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992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138,797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79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 (deficit)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2,973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6,647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Current portion of operating lease liabilities</w:t>
            </w: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portion of loans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Other current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2,644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5,959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7,536</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Convertible notes, less current portion, net</w:t>
            </w: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67,658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Derivative and warrant liability</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Operating lease liabilities, less current portion</w:t>
            </w:r>
          </w:p>
        </w:tc>
        <w:tc>
          <w:tcPr>
            <w:tcW w:w="18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Loans payable</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8,134</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77,621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D)</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7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4"/>
              </w:rPr>
              <w:t>Undesignated preferred stock, $0.0001 par value, 10,000,000 shares authorized, no shares issued or</w:t>
            </w:r>
          </w:p>
        </w:tc>
        <w:tc>
          <w:tcPr>
            <w:tcW w:w="1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June 30, 2021 (unaudited); 9,961,846 shares authorized, no shares issued or</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9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as of December 31, 2020</w:t>
            </w:r>
          </w:p>
        </w:tc>
        <w:tc>
          <w:tcPr>
            <w:tcW w:w="1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980" w:type="dxa"/>
            <w:vAlign w:val="bottom"/>
          </w:tcPr>
          <w:p>
            <w:pPr>
              <w:ind w:left="140"/>
              <w:spacing w:after="0" w:line="201" w:lineRule="exact"/>
              <w:rPr>
                <w:sz w:val="20"/>
                <w:szCs w:val="20"/>
                <w:color w:val="auto"/>
              </w:rPr>
            </w:pPr>
            <w:r>
              <w:rPr>
                <w:rFonts w:ascii="Arial" w:cs="Arial" w:eastAsia="Arial" w:hAnsi="Arial"/>
                <w:sz w:val="18"/>
                <w:szCs w:val="18"/>
                <w:color w:val="auto"/>
                <w:w w:val="94"/>
              </w:rPr>
              <w:t>Common stock, $0.0001  par  value,  250,000,000  shares  authorized,  34,977,923  shares  issued  and</w:t>
            </w: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w w:val="91"/>
              </w:rPr>
              <w:t>outstanding as of June 30, 2021 (unaudited); 4,537,321 shares issued and outstanding as of December 31,</w:t>
            </w:r>
          </w:p>
        </w:tc>
        <w:tc>
          <w:tcPr>
            <w:tcW w:w="1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00" w:type="dxa"/>
            <w:vAlign w:val="bottom"/>
            <w:gridSpan w:val="2"/>
          </w:tcPr>
          <w:p>
            <w:pPr>
              <w:ind w:left="16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19"/>
                <w:szCs w:val="19"/>
                <w:color w:val="auto"/>
              </w:rPr>
            </w:pP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393,227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192,062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980" w:type="dxa"/>
            <w:vAlign w:val="bottom"/>
          </w:tcPr>
          <w:p>
            <w:pPr>
              <w:ind w:left="1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(262,567)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(258,474)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stockholders' equity (deficit)</w:t>
            </w:r>
          </w:p>
        </w:tc>
        <w:tc>
          <w:tcPr>
            <w:tcW w:w="18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130,663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(66,412)</w:t>
            </w:r>
          </w:p>
        </w:tc>
        <w:tc>
          <w:tcPr>
            <w:tcW w:w="0" w:type="dxa"/>
            <w:vAlign w:val="bottom"/>
          </w:tcPr>
          <w:p>
            <w:pPr>
              <w:spacing w:after="0"/>
              <w:rPr>
                <w:sz w:val="1"/>
                <w:szCs w:val="1"/>
                <w:color w:val="auto"/>
              </w:rPr>
            </w:pPr>
          </w:p>
        </w:tc>
      </w:tr>
      <w:tr>
        <w:trPr>
          <w:trHeight w:val="208"/>
        </w:trPr>
        <w:tc>
          <w:tcPr>
            <w:tcW w:w="80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 (deficit)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ind w:right="30"/>
              <w:spacing w:after="0"/>
              <w:rPr>
                <w:sz w:val="20"/>
                <w:szCs w:val="20"/>
                <w:color w:val="auto"/>
              </w:rPr>
            </w:pPr>
            <w:r>
              <w:rPr>
                <w:rFonts w:ascii="Arial" w:cs="Arial" w:eastAsia="Arial" w:hAnsi="Arial"/>
                <w:sz w:val="18"/>
                <w:szCs w:val="18"/>
                <w:color w:val="auto"/>
              </w:rPr>
              <w:t>138,797</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11,209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598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960" w:type="dxa"/>
            <w:vAlign w:val="bottom"/>
            <w:gridSpan w:val="3"/>
          </w:tcPr>
          <w:p>
            <w:pPr>
              <w:jc w:val="center"/>
              <w:ind w:left="2630"/>
              <w:spacing w:after="0"/>
              <w:rPr>
                <w:sz w:val="20"/>
                <w:szCs w:val="20"/>
                <w:color w:val="auto"/>
              </w:rPr>
            </w:pPr>
            <w:r>
              <w:rPr>
                <w:rFonts w:ascii="Arial" w:cs="Arial" w:eastAsia="Arial" w:hAnsi="Arial"/>
                <w:sz w:val="18"/>
                <w:szCs w:val="18"/>
                <w:b w:val="1"/>
                <w:bCs w:val="1"/>
                <w:color w:val="auto"/>
              </w:rPr>
              <w:t>KEMPHARM, INC.</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300" w:type="dxa"/>
            <w:vAlign w:val="bottom"/>
            <w:gridSpan w:val="6"/>
          </w:tcPr>
          <w:p>
            <w:pPr>
              <w:jc w:val="center"/>
              <w:ind w:left="1290"/>
              <w:spacing w:after="0"/>
              <w:rPr>
                <w:sz w:val="20"/>
                <w:szCs w:val="20"/>
                <w:color w:val="auto"/>
              </w:rPr>
            </w:pPr>
            <w:r>
              <w:rPr>
                <w:rFonts w:ascii="Arial" w:cs="Arial" w:eastAsia="Arial" w:hAnsi="Arial"/>
                <w:sz w:val="18"/>
                <w:szCs w:val="18"/>
                <w:b w:val="1"/>
                <w:bCs w:val="1"/>
                <w:color w:val="auto"/>
                <w:w w:val="98"/>
              </w:rPr>
              <w:t>UNAUDITED CONDENSED STATEMENTS OF OPERATIONS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80" w:type="dxa"/>
            <w:vAlign w:val="bottom"/>
            <w:gridSpan w:val="5"/>
          </w:tcPr>
          <w:p>
            <w:pPr>
              <w:jc w:val="center"/>
              <w:ind w:left="2210"/>
              <w:spacing w:after="0"/>
              <w:rPr>
                <w:sz w:val="20"/>
                <w:szCs w:val="20"/>
                <w:color w:val="auto"/>
              </w:rPr>
            </w:pPr>
            <w:r>
              <w:rPr>
                <w:rFonts w:ascii="Arial" w:cs="Arial" w:eastAsia="Arial" w:hAnsi="Arial"/>
                <w:sz w:val="18"/>
                <w:szCs w:val="18"/>
                <w:b w:val="1"/>
                <w:bCs w:val="1"/>
                <w:color w:val="auto"/>
                <w:w w:val="87"/>
              </w:rPr>
              <w:t>(in thousands, except share and per share amounts)</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8"/>
              </w:rPr>
              <w:t>Three months ended June 30,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88"/>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11,986</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6,908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24,103</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8,997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Royalty and direct contract acquisition costs</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1,000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2,000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2,848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1,954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4,080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4,197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Severance expense</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6,153</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4,315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11,310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10,179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5,833</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2,593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12,793</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Gain (loss) on extinguishment of debt</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789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(16,096)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5"/>
              </w:rPr>
              <w:t>Interest expense related to amortization of debt issuance costs and discount</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expense on principal</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Interest and other (expense) income, net</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ind w:left="320"/>
              <w:spacing w:after="0"/>
              <w:rPr>
                <w:sz w:val="20"/>
                <w:szCs w:val="20"/>
                <w:color w:val="auto"/>
              </w:rPr>
            </w:pPr>
            <w:r>
              <w:rPr>
                <w:rFonts w:ascii="Arial" w:cs="Arial" w:eastAsia="Arial" w:hAnsi="Arial"/>
                <w:sz w:val="18"/>
                <w:szCs w:val="18"/>
                <w:color w:val="auto"/>
              </w:rPr>
              <w:t>Total other income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370</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Income (loss) before income taxes</w:t>
            </w:r>
          </w:p>
        </w:tc>
        <w:tc>
          <w:tcPr>
            <w:tcW w:w="100" w:type="dxa"/>
            <w:vAlign w:val="bottom"/>
          </w:tcPr>
          <w:p>
            <w:pPr>
              <w:spacing w:after="0"/>
              <w:rPr>
                <w:sz w:val="18"/>
                <w:szCs w:val="18"/>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6,203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(4,093)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Net income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6,203</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(4,093)</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Deemed dividend</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(16,898)</w:t>
            </w:r>
          </w:p>
        </w:tc>
        <w:tc>
          <w:tcPr>
            <w:tcW w:w="1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(54,342)</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5980" w:type="dxa"/>
            <w:vAlign w:val="bottom"/>
            <w:gridSpan w:val="3"/>
          </w:tcPr>
          <w:p>
            <w:pPr>
              <w:spacing w:after="0"/>
              <w:rPr>
                <w:sz w:val="20"/>
                <w:szCs w:val="20"/>
                <w:color w:val="auto"/>
              </w:rPr>
            </w:pPr>
            <w:r>
              <w:rPr>
                <w:rFonts w:ascii="Arial" w:cs="Arial" w:eastAsia="Arial" w:hAnsi="Arial"/>
                <w:sz w:val="18"/>
                <w:szCs w:val="18"/>
                <w:color w:val="auto"/>
              </w:rPr>
              <w:t>Net (loss) income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(10,695)</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859</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(58,435)</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Basic net income (loss) per share of common stock:</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0.18</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47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5960" w:type="dxa"/>
            <w:vAlign w:val="bottom"/>
            <w:gridSpan w:val="2"/>
          </w:tcPr>
          <w:p>
            <w:pPr>
              <w:ind w:left="140"/>
              <w:spacing w:after="0" w:line="195" w:lineRule="exact"/>
              <w:rPr>
                <w:sz w:val="20"/>
                <w:szCs w:val="20"/>
                <w:color w:val="auto"/>
              </w:rPr>
            </w:pPr>
            <w:r>
              <w:rPr>
                <w:rFonts w:ascii="Arial" w:cs="Arial" w:eastAsia="Arial" w:hAnsi="Arial"/>
                <w:sz w:val="18"/>
                <w:szCs w:val="18"/>
                <w:color w:val="auto"/>
              </w:rPr>
              <w:t>Net (loss) income attributable to common stockholders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Pr>
          <w:p>
            <w:pPr>
              <w:jc w:val="right"/>
              <w:spacing w:after="0" w:line="195" w:lineRule="exact"/>
              <w:rPr>
                <w:sz w:val="20"/>
                <w:szCs w:val="20"/>
                <w:color w:val="auto"/>
              </w:rPr>
            </w:pPr>
            <w:r>
              <w:rPr>
                <w:rFonts w:ascii="Arial" w:cs="Arial" w:eastAsia="Arial" w:hAnsi="Arial"/>
                <w:sz w:val="18"/>
                <w:szCs w:val="18"/>
                <w:color w:val="auto"/>
              </w:rPr>
              <w:t>(0.40)</w:t>
            </w:r>
          </w:p>
        </w:tc>
        <w:tc>
          <w:tcPr>
            <w:tcW w:w="420" w:type="dxa"/>
            <w:vAlign w:val="bottom"/>
            <w:gridSpan w:val="2"/>
          </w:tcPr>
          <w:p>
            <w:pPr>
              <w:jc w:val="right"/>
              <w:ind w:right="220"/>
              <w:spacing w:after="0" w:line="195" w:lineRule="exact"/>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0.21</w:t>
            </w:r>
          </w:p>
        </w:tc>
        <w:tc>
          <w:tcPr>
            <w:tcW w:w="260" w:type="dxa"/>
            <w:vAlign w:val="bottom"/>
            <w:gridSpan w:val="2"/>
          </w:tcPr>
          <w:p>
            <w:pPr>
              <w:jc w:val="right"/>
              <w:ind w:right="60"/>
              <w:spacing w:after="0" w:line="195" w:lineRule="exact"/>
              <w:rPr>
                <w:sz w:val="20"/>
                <w:szCs w:val="20"/>
                <w:color w:val="auto"/>
              </w:rPr>
            </w:pPr>
            <w:r>
              <w:rPr>
                <w:rFonts w:ascii="Arial" w:cs="Arial" w:eastAsia="Arial" w:hAnsi="Arial"/>
                <w:sz w:val="18"/>
                <w:szCs w:val="18"/>
                <w:color w:val="auto"/>
              </w:rPr>
              <w:t>$</w:t>
            </w:r>
          </w:p>
        </w:tc>
        <w:tc>
          <w:tcPr>
            <w:tcW w:w="1080" w:type="dxa"/>
            <w:vAlign w:val="bottom"/>
          </w:tcPr>
          <w:p>
            <w:pPr>
              <w:jc w:val="right"/>
              <w:spacing w:after="0" w:line="195" w:lineRule="exact"/>
              <w:rPr>
                <w:sz w:val="20"/>
                <w:szCs w:val="20"/>
                <w:color w:val="auto"/>
              </w:rPr>
            </w:pPr>
            <w:r>
              <w:rPr>
                <w:rFonts w:ascii="Arial" w:cs="Arial" w:eastAsia="Arial" w:hAnsi="Arial"/>
                <w:sz w:val="18"/>
                <w:szCs w:val="18"/>
                <w:color w:val="auto"/>
              </w:rPr>
              <w:t>(2.42)</w:t>
            </w:r>
          </w:p>
        </w:tc>
        <w:tc>
          <w:tcPr>
            <w:tcW w:w="340" w:type="dxa"/>
            <w:vAlign w:val="bottom"/>
            <w:gridSpan w:val="2"/>
          </w:tcPr>
          <w:p>
            <w:pPr>
              <w:jc w:val="right"/>
              <w:ind w:right="160"/>
              <w:spacing w:after="0" w:line="195"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95" w:lineRule="exact"/>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4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Arial" w:cs="Arial" w:eastAsia="Arial" w:hAnsi="Arial"/>
                <w:sz w:val="18"/>
                <w:szCs w:val="18"/>
                <w:color w:val="auto"/>
              </w:rPr>
              <w:t>Diluted net income (loss) per share of common stock:</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59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 (loss) income attributable to common stockholders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0.21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47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shares of common stock outstanding:</w:t>
            </w: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960" w:type="dxa"/>
            <w:vAlign w:val="bottom"/>
            <w:gridSpan w:val="2"/>
          </w:tcPr>
          <w:p>
            <w:pPr>
              <w:ind w:left="14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29,174,565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3,947,656</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24,187,484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3,476,107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 w:type="dxa"/>
            <w:vAlign w:val="bottom"/>
          </w:tcPr>
          <w:p>
            <w:pPr>
              <w:spacing w:after="0"/>
              <w:rPr>
                <w:sz w:val="20"/>
                <w:szCs w:val="20"/>
                <w:color w:val="auto"/>
              </w:rPr>
            </w:pPr>
          </w:p>
        </w:tc>
        <w:tc>
          <w:tcPr>
            <w:tcW w:w="5960" w:type="dxa"/>
            <w:vAlign w:val="bottom"/>
            <w:tcBorders>
              <w:bottom w:val="single" w:sz="8" w:color="CCEEFF"/>
            </w:tcBorders>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29,174,565</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w w:val="99"/>
              </w:rPr>
              <w:t>3,947,728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ind w:right="30"/>
              <w:spacing w:after="0" w:line="195" w:lineRule="exact"/>
              <w:rPr>
                <w:sz w:val="20"/>
                <w:szCs w:val="20"/>
                <w:color w:val="auto"/>
              </w:rPr>
            </w:pPr>
            <w:r>
              <w:rPr>
                <w:rFonts w:ascii="Arial" w:cs="Arial" w:eastAsia="Arial" w:hAnsi="Arial"/>
                <w:sz w:val="18"/>
                <w:szCs w:val="18"/>
                <w:color w:val="auto"/>
              </w:rPr>
              <w:t>24,187,484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ind w:right="10"/>
              <w:spacing w:after="0" w:line="195" w:lineRule="exact"/>
              <w:rPr>
                <w:sz w:val="20"/>
                <w:szCs w:val="20"/>
                <w:color w:val="auto"/>
              </w:rPr>
            </w:pPr>
            <w:r>
              <w:rPr>
                <w:rFonts w:ascii="Arial" w:cs="Arial" w:eastAsia="Arial" w:hAnsi="Arial"/>
                <w:sz w:val="18"/>
                <w:szCs w:val="18"/>
                <w:color w:val="auto"/>
              </w:rPr>
              <w:t>3,476,107</w:t>
            </w: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STATEMENTS OF CHANGES IN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Convertible</w:t>
            </w:r>
          </w:p>
        </w:tc>
        <w:tc>
          <w:tcPr>
            <w:tcW w:w="12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Convertible</w:t>
            </w:r>
          </w:p>
        </w:tc>
        <w:tc>
          <w:tcPr>
            <w:tcW w:w="1140" w:type="dxa"/>
            <w:vAlign w:val="bottom"/>
            <w:gridSpan w:val="4"/>
          </w:tcPr>
          <w:p>
            <w:pPr>
              <w:jc w:val="right"/>
              <w:ind w:right="100"/>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gridSpan w:val="3"/>
          </w:tcPr>
          <w:p>
            <w:pPr>
              <w:jc w:val="center"/>
              <w:spacing w:after="0"/>
              <w:rPr>
                <w:sz w:val="20"/>
                <w:szCs w:val="20"/>
                <w:color w:val="auto"/>
              </w:rPr>
            </w:pPr>
            <w:r>
              <w:rPr>
                <w:rFonts w:ascii="Arial" w:cs="Arial" w:eastAsia="Arial" w:hAnsi="Arial"/>
                <w:sz w:val="16"/>
                <w:szCs w:val="16"/>
                <w:b w:val="1"/>
                <w:bCs w:val="1"/>
                <w:color w:val="auto"/>
                <w:w w:val="89"/>
              </w:rPr>
              <w:t>Stockholders'</w:t>
            </w:r>
          </w:p>
        </w:tc>
        <w:tc>
          <w:tcPr>
            <w:tcW w:w="0" w:type="dxa"/>
            <w:vAlign w:val="bottom"/>
          </w:tcPr>
          <w:p>
            <w:pPr>
              <w:spacing w:after="0"/>
              <w:rPr>
                <w:sz w:val="1"/>
                <w:szCs w:val="1"/>
                <w:color w:val="auto"/>
              </w:rPr>
            </w:pPr>
          </w:p>
        </w:tc>
      </w:tr>
      <w:tr>
        <w:trPr>
          <w:trHeight w:val="202"/>
        </w:trPr>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ind w:right="139"/>
              <w:spacing w:after="0"/>
              <w:rPr>
                <w:sz w:val="20"/>
                <w:szCs w:val="20"/>
                <w:color w:val="auto"/>
              </w:rPr>
            </w:pPr>
            <w:r>
              <w:rPr>
                <w:rFonts w:ascii="Arial" w:cs="Arial" w:eastAsia="Arial" w:hAnsi="Arial"/>
                <w:sz w:val="16"/>
                <w:szCs w:val="16"/>
                <w:b w:val="1"/>
                <w:bCs w:val="1"/>
                <w:color w:val="auto"/>
                <w:w w:val="92"/>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jc w:val="center"/>
              <w:ind w:right="159"/>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3"/>
        </w:trPr>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59"/>
              <w:spacing w:after="0"/>
              <w:rPr>
                <w:sz w:val="20"/>
                <w:szCs w:val="20"/>
                <w:color w:val="auto"/>
              </w:rPr>
            </w:pPr>
            <w:r>
              <w:rPr>
                <w:rFonts w:ascii="Arial" w:cs="Arial" w:eastAsia="Arial" w:hAnsi="Arial"/>
                <w:sz w:val="16"/>
                <w:szCs w:val="16"/>
                <w:b w:val="1"/>
                <w:bCs w:val="1"/>
                <w:color w:val="auto"/>
                <w:w w:val="93"/>
              </w:rPr>
              <w:t>(Deficit)</w:t>
            </w:r>
          </w:p>
        </w:tc>
        <w:tc>
          <w:tcPr>
            <w:tcW w:w="0" w:type="dxa"/>
            <w:vAlign w:val="bottom"/>
          </w:tcPr>
          <w:p>
            <w:pPr>
              <w:spacing w:after="0"/>
              <w:rPr>
                <w:sz w:val="1"/>
                <w:szCs w:val="1"/>
                <w:color w:val="auto"/>
              </w:rPr>
            </w:pPr>
          </w:p>
        </w:tc>
      </w:tr>
      <w:tr>
        <w:trPr>
          <w:trHeight w:val="198"/>
        </w:trPr>
        <w:tc>
          <w:tcPr>
            <w:tcW w:w="2040" w:type="dxa"/>
            <w:vAlign w:val="bottom"/>
            <w:gridSpan w:val="5"/>
            <w:shd w:val="clear" w:color="auto" w:fill="CCEEFF"/>
          </w:tcPr>
          <w:p>
            <w:pPr>
              <w:jc w:val="right"/>
              <w:ind w:right="19"/>
              <w:spacing w:after="0"/>
              <w:rPr>
                <w:sz w:val="20"/>
                <w:szCs w:val="20"/>
                <w:color w:val="auto"/>
              </w:rPr>
            </w:pPr>
            <w:r>
              <w:rPr>
                <w:rFonts w:ascii="Arial" w:cs="Arial" w:eastAsia="Arial" w:hAnsi="Arial"/>
                <w:sz w:val="16"/>
                <w:szCs w:val="16"/>
                <w:color w:val="auto"/>
                <w:w w:val="88"/>
              </w:rPr>
              <w:t>Balance as of January 1, 2021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192,062</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(258,474)</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(66,412)</w:t>
            </w:r>
          </w:p>
        </w:tc>
        <w:tc>
          <w:tcPr>
            <w:tcW w:w="0" w:type="dxa"/>
            <w:vAlign w:val="bottom"/>
          </w:tcPr>
          <w:p>
            <w:pPr>
              <w:spacing w:after="0"/>
              <w:rPr>
                <w:sz w:val="1"/>
                <w:szCs w:val="1"/>
                <w:color w:val="auto"/>
              </w:rPr>
            </w:pPr>
          </w:p>
        </w:tc>
      </w:tr>
      <w:tr>
        <w:trPr>
          <w:trHeight w:val="195"/>
        </w:trPr>
        <w:tc>
          <w:tcPr>
            <w:tcW w:w="800" w:type="dxa"/>
            <w:vAlign w:val="bottom"/>
            <w:tcBorders>
              <w:top w:val="single" w:sz="8" w:color="CCEEFF"/>
            </w:tcBorders>
          </w:tcPr>
          <w:p>
            <w:pPr>
              <w:ind w:left="160"/>
              <w:spacing w:after="0"/>
              <w:rPr>
                <w:sz w:val="20"/>
                <w:szCs w:val="20"/>
                <w:color w:val="auto"/>
              </w:rPr>
            </w:pPr>
            <w:r>
              <w:rPr>
                <w:rFonts w:ascii="Arial" w:cs="Arial" w:eastAsia="Arial" w:hAnsi="Arial"/>
                <w:sz w:val="16"/>
                <w:szCs w:val="16"/>
                <w:color w:val="auto"/>
              </w:rPr>
              <w:t>Net loss</w:t>
            </w:r>
          </w:p>
        </w:tc>
        <w:tc>
          <w:tcPr>
            <w:tcW w:w="1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(10,296)</w:t>
            </w:r>
          </w:p>
        </w:tc>
        <w:tc>
          <w:tcPr>
            <w:tcW w:w="1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(10,296)</w:t>
            </w:r>
          </w:p>
        </w:tc>
        <w:tc>
          <w:tcPr>
            <w:tcW w:w="0" w:type="dxa"/>
            <w:vAlign w:val="bottom"/>
          </w:tcPr>
          <w:p>
            <w:pPr>
              <w:spacing w:after="0"/>
              <w:rPr>
                <w:sz w:val="1"/>
                <w:szCs w:val="1"/>
                <w:color w:val="auto"/>
              </w:rPr>
            </w:pPr>
          </w:p>
        </w:tc>
      </w:tr>
      <w:tr>
        <w:trPr>
          <w:trHeight w:val="192"/>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7"/>
              </w:rPr>
              <w:t>Stock-based</w:t>
            </w:r>
          </w:p>
        </w:tc>
        <w:tc>
          <w:tcPr>
            <w:tcW w:w="1520" w:type="dxa"/>
            <w:vAlign w:val="bottom"/>
            <w:gridSpan w:val="5"/>
            <w:shd w:val="clear" w:color="auto" w:fill="CCEEFF"/>
          </w:tcPr>
          <w:p>
            <w:pPr>
              <w:jc w:val="right"/>
              <w:ind w:right="142"/>
              <w:spacing w:after="0"/>
              <w:rPr>
                <w:sz w:val="20"/>
                <w:szCs w:val="20"/>
                <w:color w:val="auto"/>
              </w:rPr>
            </w:pPr>
            <w:r>
              <w:rPr>
                <w:rFonts w:ascii="Arial" w:cs="Arial" w:eastAsia="Arial" w:hAnsi="Arial"/>
                <w:sz w:val="16"/>
                <w:szCs w:val="16"/>
                <w:color w:val="auto"/>
              </w:rPr>
              <w:t>compensation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expense</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160"/>
              <w:spacing w:after="0"/>
              <w:rPr>
                <w:sz w:val="20"/>
                <w:szCs w:val="20"/>
                <w:color w:val="auto"/>
              </w:rPr>
            </w:pPr>
            <w:r>
              <w:rPr>
                <w:rFonts w:ascii="Arial" w:cs="Arial" w:eastAsia="Arial" w:hAnsi="Arial"/>
                <w:sz w:val="16"/>
                <w:szCs w:val="16"/>
                <w:color w:val="auto"/>
              </w:rPr>
              <w:t>connection</w:t>
            </w:r>
          </w:p>
        </w:tc>
        <w:tc>
          <w:tcPr>
            <w:tcW w:w="660" w:type="dxa"/>
            <w:vAlign w:val="bottom"/>
            <w:gridSpan w:val="2"/>
          </w:tcPr>
          <w:p>
            <w:pPr>
              <w:ind w:left="260"/>
              <w:spacing w:after="0"/>
              <w:rPr>
                <w:sz w:val="20"/>
                <w:szCs w:val="20"/>
                <w:color w:val="auto"/>
              </w:rPr>
            </w:pPr>
            <w:r>
              <w:rPr>
                <w:rFonts w:ascii="Arial" w:cs="Arial" w:eastAsia="Arial" w:hAnsi="Arial"/>
                <w:sz w:val="16"/>
                <w:szCs w:val="16"/>
                <w:color w:val="auto"/>
              </w:rPr>
              <w:t>with</w:t>
            </w:r>
          </w:p>
        </w:tc>
        <w:tc>
          <w:tcPr>
            <w:tcW w:w="860" w:type="dxa"/>
            <w:vAlign w:val="bottom"/>
            <w:gridSpan w:val="3"/>
          </w:tcPr>
          <w:p>
            <w:pPr>
              <w:jc w:val="right"/>
              <w:ind w:right="142"/>
              <w:spacing w:after="0"/>
              <w:rPr>
                <w:sz w:val="20"/>
                <w:szCs w:val="20"/>
                <w:color w:val="auto"/>
              </w:rPr>
            </w:pPr>
            <w:r>
              <w:rPr>
                <w:rFonts w:ascii="Arial" w:cs="Arial" w:eastAsia="Arial" w:hAnsi="Arial"/>
                <w:sz w:val="16"/>
                <w:szCs w:val="16"/>
                <w:color w:val="auto"/>
              </w:rPr>
              <w:t>Public</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Offering, net of discounts and</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1420" w:type="dxa"/>
            <w:vAlign w:val="bottom"/>
            <w:gridSpan w:val="3"/>
          </w:tcPr>
          <w:p>
            <w:pPr>
              <w:ind w:left="160"/>
              <w:spacing w:after="0"/>
              <w:rPr>
                <w:sz w:val="20"/>
                <w:szCs w:val="20"/>
                <w:color w:val="auto"/>
              </w:rPr>
            </w:pPr>
            <w:r>
              <w:rPr>
                <w:rFonts w:ascii="Arial" w:cs="Arial" w:eastAsia="Arial" w:hAnsi="Arial"/>
                <w:sz w:val="16"/>
                <w:szCs w:val="16"/>
                <w:color w:val="auto"/>
              </w:rPr>
              <w:t>commissions</w:t>
            </w: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49,284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49,285</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warrants in the January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Inducement Transaction,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4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5"/>
              </w:rPr>
              <w:t>discounts and commissions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40,391</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gridSpan w:val="5"/>
          </w:tcPr>
          <w:p>
            <w:pPr>
              <w:ind w:left="160"/>
              <w:spacing w:after="0"/>
              <w:rPr>
                <w:sz w:val="20"/>
                <w:szCs w:val="20"/>
                <w:color w:val="auto"/>
              </w:rPr>
            </w:pPr>
            <w:r>
              <w:rPr>
                <w:rFonts w:ascii="Arial" w:cs="Arial" w:eastAsia="Arial" w:hAnsi="Arial"/>
                <w:sz w:val="16"/>
                <w:szCs w:val="16"/>
                <w:color w:val="auto"/>
              </w:rPr>
              <w:t>common stock warrants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25,593</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rPr>
              <w:t>connection</w:t>
            </w:r>
          </w:p>
        </w:tc>
        <w:tc>
          <w:tcPr>
            <w:tcW w:w="66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with the</w:t>
            </w:r>
          </w:p>
        </w:tc>
        <w:tc>
          <w:tcPr>
            <w:tcW w:w="860" w:type="dxa"/>
            <w:vAlign w:val="bottom"/>
            <w:gridSpan w:val="3"/>
            <w:shd w:val="clear" w:color="auto" w:fill="CCEEFF"/>
          </w:tcPr>
          <w:p>
            <w:pPr>
              <w:jc w:val="right"/>
              <w:ind w:right="142"/>
              <w:spacing w:after="0"/>
              <w:rPr>
                <w:sz w:val="20"/>
                <w:szCs w:val="20"/>
                <w:color w:val="auto"/>
              </w:rPr>
            </w:pPr>
            <w:r>
              <w:rPr>
                <w:rFonts w:ascii="Arial" w:cs="Arial" w:eastAsia="Arial" w:hAnsi="Arial"/>
                <w:sz w:val="16"/>
                <w:szCs w:val="16"/>
                <w:color w:val="auto"/>
                <w:w w:val="87"/>
              </w:rPr>
              <w:t>Exchange</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9"/>
              </w:rPr>
              <w:t>Agreement</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15,990</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Fair  value  of  Series  B-2</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w w:val="92"/>
              </w:rPr>
              <w:t>Preferred</w:t>
            </w:r>
          </w:p>
        </w:tc>
        <w:tc>
          <w:tcPr>
            <w:tcW w:w="160" w:type="dxa"/>
            <w:vAlign w:val="bottom"/>
          </w:tcPr>
          <w:p>
            <w:pPr>
              <w:spacing w:after="0"/>
              <w:rPr>
                <w:sz w:val="17"/>
                <w:szCs w:val="17"/>
                <w:color w:val="auto"/>
              </w:rPr>
            </w:pPr>
          </w:p>
        </w:tc>
        <w:tc>
          <w:tcPr>
            <w:tcW w:w="460" w:type="dxa"/>
            <w:vAlign w:val="bottom"/>
          </w:tcPr>
          <w:p>
            <w:pPr>
              <w:spacing w:after="0"/>
              <w:rPr>
                <w:sz w:val="20"/>
                <w:szCs w:val="20"/>
                <w:color w:val="auto"/>
              </w:rPr>
            </w:pPr>
            <w:r>
              <w:rPr>
                <w:rFonts w:ascii="Arial" w:cs="Arial" w:eastAsia="Arial" w:hAnsi="Arial"/>
                <w:sz w:val="16"/>
                <w:szCs w:val="16"/>
                <w:color w:val="auto"/>
              </w:rPr>
              <w:t>Stock</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issued</w:t>
            </w:r>
          </w:p>
        </w:tc>
        <w:tc>
          <w:tcPr>
            <w:tcW w:w="440" w:type="dxa"/>
            <w:vAlign w:val="bottom"/>
            <w:gridSpan w:val="2"/>
          </w:tcPr>
          <w:p>
            <w:pPr>
              <w:jc w:val="right"/>
              <w:ind w:right="142"/>
              <w:spacing w:after="0"/>
              <w:rPr>
                <w:sz w:val="20"/>
                <w:szCs w:val="20"/>
                <w:color w:val="auto"/>
              </w:rPr>
            </w:pPr>
            <w:r>
              <w:rPr>
                <w:rFonts w:ascii="Arial" w:cs="Arial" w:eastAsia="Arial" w:hAnsi="Arial"/>
                <w:sz w:val="16"/>
                <w:szCs w:val="16"/>
                <w:color w:val="auto"/>
              </w:rPr>
              <w:t>in</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accordance with the Exchange</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99"/>
              </w:rPr>
              <w:t>Agreement</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29,056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29,056</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as a</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result of Series B-2 Preferred</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1420" w:type="dxa"/>
            <w:vAlign w:val="bottom"/>
            <w:gridSpan w:val="3"/>
            <w:shd w:val="clear" w:color="auto" w:fill="CCEEFF"/>
          </w:tcPr>
          <w:p>
            <w:pPr>
              <w:ind w:left="160"/>
              <w:spacing w:after="0"/>
              <w:rPr>
                <w:sz w:val="20"/>
                <w:szCs w:val="20"/>
                <w:color w:val="auto"/>
              </w:rPr>
            </w:pPr>
            <w:r>
              <w:rPr>
                <w:rFonts w:ascii="Arial" w:cs="Arial" w:eastAsia="Arial" w:hAnsi="Arial"/>
                <w:sz w:val="16"/>
                <w:szCs w:val="16"/>
                <w:color w:val="auto"/>
              </w:rPr>
              <w:t>Stock conversion</w:t>
            </w: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29,055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ind w:left="160"/>
              <w:spacing w:after="0"/>
              <w:rPr>
                <w:sz w:val="20"/>
                <w:szCs w:val="20"/>
                <w:color w:val="auto"/>
              </w:rPr>
            </w:pPr>
            <w:r>
              <w:rPr>
                <w:rFonts w:ascii="Arial" w:cs="Arial" w:eastAsia="Arial" w:hAnsi="Arial"/>
                <w:sz w:val="16"/>
                <w:szCs w:val="16"/>
                <w:color w:val="auto"/>
              </w:rPr>
              <w:t>connection</w:t>
            </w:r>
          </w:p>
        </w:tc>
        <w:tc>
          <w:tcPr>
            <w:tcW w:w="460" w:type="dxa"/>
            <w:vAlign w:val="bottom"/>
          </w:tcPr>
          <w:p>
            <w:pPr>
              <w:ind w:left="60"/>
              <w:spacing w:after="0"/>
              <w:rPr>
                <w:sz w:val="20"/>
                <w:szCs w:val="20"/>
                <w:color w:val="auto"/>
              </w:rPr>
            </w:pPr>
            <w:r>
              <w:rPr>
                <w:rFonts w:ascii="Arial" w:cs="Arial" w:eastAsia="Arial" w:hAnsi="Arial"/>
                <w:sz w:val="16"/>
                <w:szCs w:val="16"/>
                <w:color w:val="auto"/>
              </w:rPr>
              <w:t>with</w:t>
            </w:r>
          </w:p>
        </w:tc>
        <w:tc>
          <w:tcPr>
            <w:tcW w:w="200" w:type="dxa"/>
            <w:vAlign w:val="bottom"/>
          </w:tcPr>
          <w:p>
            <w:pPr>
              <w:ind w:left="20"/>
              <w:spacing w:after="0"/>
              <w:rPr>
                <w:sz w:val="20"/>
                <w:szCs w:val="20"/>
                <w:color w:val="auto"/>
              </w:rPr>
            </w:pPr>
            <w:r>
              <w:rPr>
                <w:rFonts w:ascii="Arial" w:cs="Arial" w:eastAsia="Arial" w:hAnsi="Arial"/>
                <w:sz w:val="16"/>
                <w:szCs w:val="16"/>
                <w:color w:val="auto"/>
                <w:w w:val="71"/>
              </w:rPr>
              <w:t>the</w:t>
            </w:r>
          </w:p>
        </w:tc>
        <w:tc>
          <w:tcPr>
            <w:tcW w:w="860" w:type="dxa"/>
            <w:vAlign w:val="bottom"/>
            <w:gridSpan w:val="3"/>
          </w:tcPr>
          <w:p>
            <w:pPr>
              <w:jc w:val="right"/>
              <w:ind w:right="142"/>
              <w:spacing w:after="0"/>
              <w:rPr>
                <w:sz w:val="20"/>
                <w:szCs w:val="20"/>
                <w:color w:val="auto"/>
              </w:rPr>
            </w:pPr>
            <w:r>
              <w:rPr>
                <w:rFonts w:ascii="Arial" w:cs="Arial" w:eastAsia="Arial" w:hAnsi="Arial"/>
                <w:sz w:val="16"/>
                <w:szCs w:val="16"/>
                <w:color w:val="auto"/>
              </w:rPr>
              <w:t>January</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2021 Inducement Transaction</w:t>
            </w: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38,437</w:t>
            </w:r>
          </w:p>
        </w:tc>
        <w:tc>
          <w:tcPr>
            <w:tcW w:w="0" w:type="dxa"/>
            <w:vAlign w:val="bottom"/>
          </w:tcPr>
          <w:p>
            <w:pPr>
              <w:spacing w:after="0"/>
              <w:rPr>
                <w:sz w:val="1"/>
                <w:szCs w:val="1"/>
                <w:color w:val="auto"/>
              </w:rPr>
            </w:pPr>
          </w:p>
        </w:tc>
      </w:tr>
      <w:tr>
        <w:trPr>
          <w:trHeight w:val="195"/>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Deemed</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7"/>
              </w:rPr>
              <w:t>dividend</w:t>
            </w:r>
          </w:p>
        </w:tc>
        <w:tc>
          <w:tcPr>
            <w:tcW w:w="620" w:type="dxa"/>
            <w:vAlign w:val="bottom"/>
            <w:gridSpan w:val="2"/>
            <w:shd w:val="clear" w:color="auto" w:fill="CCEEFF"/>
          </w:tcPr>
          <w:p>
            <w:pPr>
              <w:jc w:val="right"/>
              <w:ind w:right="19"/>
              <w:spacing w:after="0"/>
              <w:rPr>
                <w:sz w:val="20"/>
                <w:szCs w:val="20"/>
                <w:color w:val="auto"/>
              </w:rPr>
            </w:pPr>
            <w:r>
              <w:rPr>
                <w:rFonts w:ascii="Arial" w:cs="Arial" w:eastAsia="Arial" w:hAnsi="Arial"/>
                <w:sz w:val="16"/>
                <w:szCs w:val="16"/>
                <w:color w:val="auto"/>
              </w:rPr>
              <w:t>related</w:t>
            </w:r>
          </w:p>
        </w:tc>
        <w:tc>
          <w:tcPr>
            <w:tcW w:w="4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w w:val="89"/>
              </w:rPr>
              <w:t>the</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January</w:t>
            </w:r>
          </w:p>
        </w:tc>
        <w:tc>
          <w:tcPr>
            <w:tcW w:w="6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2021</w:t>
            </w:r>
          </w:p>
        </w:tc>
        <w:tc>
          <w:tcPr>
            <w:tcW w:w="1060" w:type="dxa"/>
            <w:vAlign w:val="bottom"/>
            <w:gridSpan w:val="4"/>
            <w:shd w:val="clear" w:color="auto" w:fill="CCEEFF"/>
          </w:tcPr>
          <w:p>
            <w:pPr>
              <w:jc w:val="right"/>
              <w:ind w:right="142"/>
              <w:spacing w:after="0"/>
              <w:rPr>
                <w:sz w:val="20"/>
                <w:szCs w:val="20"/>
                <w:color w:val="auto"/>
              </w:rPr>
            </w:pPr>
            <w:r>
              <w:rPr>
                <w:rFonts w:ascii="Arial" w:cs="Arial" w:eastAsia="Arial" w:hAnsi="Arial"/>
                <w:sz w:val="16"/>
                <w:szCs w:val="16"/>
                <w:color w:val="auto"/>
                <w:w w:val="98"/>
              </w:rPr>
              <w:t>Inducement</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3"/>
              </w:rPr>
              <w:t>Transaction</w:t>
            </w: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(37,444)</w:t>
            </w:r>
          </w:p>
        </w:tc>
        <w:tc>
          <w:tcPr>
            <w:tcW w:w="0" w:type="dxa"/>
            <w:vAlign w:val="bottom"/>
          </w:tcPr>
          <w:p>
            <w:pPr>
              <w:spacing w:after="0"/>
              <w:rPr>
                <w:sz w:val="1"/>
                <w:szCs w:val="1"/>
                <w:color w:val="auto"/>
              </w:rPr>
            </w:pPr>
          </w:p>
        </w:tc>
      </w:tr>
      <w:tr>
        <w:trPr>
          <w:trHeight w:val="192"/>
        </w:trPr>
        <w:tc>
          <w:tcPr>
            <w:tcW w:w="800" w:type="dxa"/>
            <w:vAlign w:val="bottom"/>
          </w:tcPr>
          <w:p>
            <w:pPr>
              <w:ind w:left="160"/>
              <w:spacing w:after="0"/>
              <w:rPr>
                <w:sz w:val="20"/>
                <w:szCs w:val="20"/>
                <w:color w:val="auto"/>
              </w:rPr>
            </w:pPr>
            <w:r>
              <w:rPr>
                <w:rFonts w:ascii="Arial" w:cs="Arial" w:eastAsia="Arial" w:hAnsi="Arial"/>
                <w:sz w:val="16"/>
                <w:szCs w:val="16"/>
                <w:color w:val="auto"/>
              </w:rPr>
              <w:t>Offering</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w w:val="84"/>
              </w:rPr>
              <w:t>expenses</w:t>
            </w:r>
          </w:p>
        </w:tc>
        <w:tc>
          <w:tcPr>
            <w:tcW w:w="620" w:type="dxa"/>
            <w:vAlign w:val="bottom"/>
            <w:gridSpan w:val="2"/>
          </w:tcPr>
          <w:p>
            <w:pPr>
              <w:jc w:val="right"/>
              <w:spacing w:after="0"/>
              <w:rPr>
                <w:sz w:val="20"/>
                <w:szCs w:val="20"/>
                <w:color w:val="auto"/>
              </w:rPr>
            </w:pPr>
            <w:r>
              <w:rPr>
                <w:rFonts w:ascii="Arial" w:cs="Arial" w:eastAsia="Arial" w:hAnsi="Arial"/>
                <w:sz w:val="16"/>
                <w:szCs w:val="16"/>
                <w:color w:val="auto"/>
              </w:rPr>
              <w:t>charged</w:t>
            </w:r>
          </w:p>
        </w:tc>
        <w:tc>
          <w:tcPr>
            <w:tcW w:w="440" w:type="dxa"/>
            <w:vAlign w:val="bottom"/>
            <w:gridSpan w:val="2"/>
          </w:tcPr>
          <w:p>
            <w:pPr>
              <w:jc w:val="right"/>
              <w:ind w:right="142"/>
              <w:spacing w:after="0"/>
              <w:rPr>
                <w:sz w:val="20"/>
                <w:szCs w:val="20"/>
                <w:color w:val="auto"/>
              </w:rPr>
            </w:pPr>
            <w:r>
              <w:rPr>
                <w:rFonts w:ascii="Arial" w:cs="Arial" w:eastAsia="Arial" w:hAnsi="Arial"/>
                <w:sz w:val="16"/>
                <w:szCs w:val="16"/>
                <w:color w:val="auto"/>
              </w:rPr>
              <w:t>to</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60"/>
              <w:spacing w:after="0"/>
              <w:rPr>
                <w:sz w:val="20"/>
                <w:szCs w:val="20"/>
                <w:color w:val="auto"/>
              </w:rPr>
            </w:pPr>
            <w:r>
              <w:rPr>
                <w:rFonts w:ascii="Arial" w:cs="Arial" w:eastAsia="Arial" w:hAnsi="Arial"/>
                <w:sz w:val="16"/>
                <w:szCs w:val="16"/>
                <w:color w:val="auto"/>
              </w:rPr>
              <w:t>equity</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(1,106)</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w w:val="89"/>
              </w:rPr>
              <w:t>exchange</w:t>
            </w:r>
          </w:p>
        </w:tc>
        <w:tc>
          <w:tcPr>
            <w:tcW w:w="160" w:type="dxa"/>
            <w:vAlign w:val="bottom"/>
            <w:shd w:val="clear" w:color="auto" w:fill="CCEEFF"/>
          </w:tcPr>
          <w:p>
            <w:pPr>
              <w:spacing w:after="0"/>
              <w:rPr>
                <w:sz w:val="17"/>
                <w:szCs w:val="17"/>
                <w:color w:val="auto"/>
              </w:rPr>
            </w:pPr>
          </w:p>
        </w:tc>
        <w:tc>
          <w:tcPr>
            <w:tcW w:w="4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for</w:t>
            </w:r>
          </w:p>
        </w:tc>
        <w:tc>
          <w:tcPr>
            <w:tcW w:w="1060" w:type="dxa"/>
            <w:vAlign w:val="bottom"/>
            <w:gridSpan w:val="4"/>
            <w:shd w:val="clear" w:color="auto" w:fill="CCEEFF"/>
          </w:tcPr>
          <w:p>
            <w:pPr>
              <w:jc w:val="right"/>
              <w:ind w:right="142"/>
              <w:spacing w:after="0"/>
              <w:rPr>
                <w:sz w:val="20"/>
                <w:szCs w:val="20"/>
                <w:color w:val="auto"/>
              </w:rPr>
            </w:pPr>
            <w:r>
              <w:rPr>
                <w:rFonts w:ascii="Arial" w:cs="Arial" w:eastAsia="Arial" w:hAnsi="Arial"/>
                <w:sz w:val="16"/>
                <w:szCs w:val="16"/>
                <w:color w:val="auto"/>
              </w:rPr>
              <w:t>consulting</w:t>
            </w:r>
          </w:p>
        </w:tc>
        <w:tc>
          <w:tcPr>
            <w:tcW w:w="920" w:type="dxa"/>
            <w:vAlign w:val="bottom"/>
            <w:vMerge w:val="restart"/>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vMerge w:val="restart"/>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198"/>
        </w:trPr>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services</w:t>
            </w:r>
          </w:p>
        </w:tc>
        <w:tc>
          <w:tcPr>
            <w:tcW w:w="16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gridSpan w:val="2"/>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vMerge w:val="continue"/>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040" w:type="dxa"/>
            <w:vAlign w:val="bottom"/>
            <w:gridSpan w:val="5"/>
          </w:tcPr>
          <w:p>
            <w:pPr>
              <w:jc w:val="right"/>
              <w:ind w:right="19"/>
              <w:spacing w:after="0"/>
              <w:rPr>
                <w:sz w:val="20"/>
                <w:szCs w:val="20"/>
                <w:color w:val="auto"/>
              </w:rPr>
            </w:pPr>
            <w:r>
              <w:rPr>
                <w:rFonts w:ascii="Arial" w:cs="Arial" w:eastAsia="Arial" w:hAnsi="Arial"/>
                <w:sz w:val="16"/>
                <w:szCs w:val="16"/>
                <w:color w:val="auto"/>
                <w:w w:val="90"/>
              </w:rPr>
              <w:t>Balance as of March 31, 2021</w:t>
            </w:r>
          </w:p>
        </w:tc>
        <w:tc>
          <w:tcPr>
            <w:tcW w:w="3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353,018</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(268,770)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84,251</w:t>
            </w:r>
          </w:p>
        </w:tc>
        <w:tc>
          <w:tcPr>
            <w:tcW w:w="0" w:type="dxa"/>
            <w:vAlign w:val="bottom"/>
          </w:tcPr>
          <w:p>
            <w:pPr>
              <w:spacing w:after="0"/>
              <w:rPr>
                <w:sz w:val="1"/>
                <w:szCs w:val="1"/>
                <w:color w:val="auto"/>
              </w:rPr>
            </w:pPr>
          </w:p>
        </w:tc>
      </w:tr>
      <w:tr>
        <w:trPr>
          <w:trHeight w:val="195"/>
        </w:trPr>
        <w:tc>
          <w:tcPr>
            <w:tcW w:w="9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6"/>
              </w:rPr>
              <w:t>Net income</w:t>
            </w:r>
          </w:p>
        </w:tc>
        <w:tc>
          <w:tcPr>
            <w:tcW w:w="4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6,203</w:t>
            </w: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6,203</w:t>
            </w:r>
          </w:p>
        </w:tc>
        <w:tc>
          <w:tcPr>
            <w:tcW w:w="0" w:type="dxa"/>
            <w:vAlign w:val="bottom"/>
          </w:tcPr>
          <w:p>
            <w:pPr>
              <w:spacing w:after="0"/>
              <w:rPr>
                <w:sz w:val="1"/>
                <w:szCs w:val="1"/>
                <w:color w:val="auto"/>
              </w:rPr>
            </w:pPr>
          </w:p>
        </w:tc>
      </w:tr>
      <w:tr>
        <w:trPr>
          <w:trHeight w:val="192"/>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87"/>
              </w:rPr>
              <w:t>Stock-based</w:t>
            </w:r>
          </w:p>
        </w:tc>
        <w:tc>
          <w:tcPr>
            <w:tcW w:w="1520" w:type="dxa"/>
            <w:vAlign w:val="bottom"/>
            <w:gridSpan w:val="5"/>
          </w:tcPr>
          <w:p>
            <w:pPr>
              <w:jc w:val="right"/>
              <w:ind w:right="142"/>
              <w:spacing w:after="0"/>
              <w:rPr>
                <w:sz w:val="20"/>
                <w:szCs w:val="20"/>
                <w:color w:val="auto"/>
              </w:rPr>
            </w:pPr>
            <w:r>
              <w:rPr>
                <w:rFonts w:ascii="Arial" w:cs="Arial" w:eastAsia="Arial" w:hAnsi="Arial"/>
                <w:sz w:val="16"/>
                <w:szCs w:val="16"/>
                <w:color w:val="auto"/>
              </w:rPr>
              <w:t>compensation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800" w:type="dxa"/>
            <w:vAlign w:val="bottom"/>
          </w:tcPr>
          <w:p>
            <w:pPr>
              <w:ind w:left="160"/>
              <w:spacing w:after="0"/>
              <w:rPr>
                <w:sz w:val="20"/>
                <w:szCs w:val="20"/>
                <w:color w:val="auto"/>
              </w:rPr>
            </w:pPr>
            <w:r>
              <w:rPr>
                <w:rFonts w:ascii="Arial" w:cs="Arial" w:eastAsia="Arial" w:hAnsi="Arial"/>
                <w:sz w:val="16"/>
                <w:szCs w:val="16"/>
                <w:color w:val="auto"/>
              </w:rPr>
              <w:t>expense</w:t>
            </w: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warrants  in  the  June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Inducement Transaction, net of</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4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w w:val="95"/>
              </w:rPr>
              <w:t>discounts and commissions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35,455</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connection with the exercise of</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40" w:type="dxa"/>
            <w:vAlign w:val="bottom"/>
            <w:gridSpan w:val="5"/>
          </w:tcPr>
          <w:p>
            <w:pPr>
              <w:ind w:left="160"/>
              <w:spacing w:after="0"/>
              <w:rPr>
                <w:sz w:val="20"/>
                <w:szCs w:val="20"/>
                <w:color w:val="auto"/>
              </w:rPr>
            </w:pPr>
            <w:r>
              <w:rPr>
                <w:rFonts w:ascii="Arial" w:cs="Arial" w:eastAsia="Arial" w:hAnsi="Arial"/>
                <w:sz w:val="16"/>
                <w:szCs w:val="16"/>
                <w:color w:val="auto"/>
              </w:rPr>
              <w:t>common stock warrants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19"/>
              <w:spacing w:after="0"/>
              <w:rPr>
                <w:sz w:val="20"/>
                <w:szCs w:val="20"/>
                <w:color w:val="auto"/>
              </w:rPr>
            </w:pPr>
            <w:r>
              <w:rPr>
                <w:rFonts w:ascii="Arial" w:cs="Arial" w:eastAsia="Arial" w:hAnsi="Arial"/>
                <w:sz w:val="16"/>
                <w:szCs w:val="16"/>
                <w:color w:val="auto"/>
              </w:rPr>
              <w:t>4,191</w:t>
            </w:r>
          </w:p>
        </w:tc>
        <w:tc>
          <w:tcPr>
            <w:tcW w:w="0" w:type="dxa"/>
            <w:vAlign w:val="bottom"/>
          </w:tcPr>
          <w:p>
            <w:pPr>
              <w:spacing w:after="0"/>
              <w:rPr>
                <w:sz w:val="1"/>
                <w:szCs w:val="1"/>
                <w:color w:val="auto"/>
              </w:rPr>
            </w:pPr>
          </w:p>
        </w:tc>
      </w:tr>
      <w:tr>
        <w:trPr>
          <w:trHeight w:val="195"/>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Fair value of warrants issued in</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2480" w:type="dxa"/>
            <w:vAlign w:val="bottom"/>
            <w:gridSpan w:val="7"/>
            <w:shd w:val="clear" w:color="auto" w:fill="CCEEFF"/>
          </w:tcPr>
          <w:p>
            <w:pPr>
              <w:ind w:left="160"/>
              <w:spacing w:after="0"/>
              <w:rPr>
                <w:sz w:val="20"/>
                <w:szCs w:val="20"/>
                <w:color w:val="auto"/>
              </w:rPr>
            </w:pPr>
            <w:r>
              <w:rPr>
                <w:rFonts w:ascii="Arial" w:cs="Arial" w:eastAsia="Arial" w:hAnsi="Arial"/>
                <w:sz w:val="16"/>
                <w:szCs w:val="16"/>
                <w:color w:val="auto"/>
              </w:rPr>
              <w:t>connection with the June 2021</w:t>
            </w: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040" w:type="dxa"/>
            <w:vAlign w:val="bottom"/>
            <w:gridSpan w:val="5"/>
            <w:shd w:val="clear" w:color="auto" w:fill="CCEEFF"/>
          </w:tcPr>
          <w:p>
            <w:pPr>
              <w:ind w:left="160"/>
              <w:spacing w:after="0"/>
              <w:rPr>
                <w:sz w:val="20"/>
                <w:szCs w:val="20"/>
                <w:color w:val="auto"/>
              </w:rPr>
            </w:pPr>
            <w:r>
              <w:rPr>
                <w:rFonts w:ascii="Arial" w:cs="Arial" w:eastAsia="Arial" w:hAnsi="Arial"/>
                <w:sz w:val="16"/>
                <w:szCs w:val="16"/>
                <w:color w:val="auto"/>
              </w:rPr>
              <w:t>Inducement Transaction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17,089</w:t>
            </w:r>
          </w:p>
        </w:tc>
        <w:tc>
          <w:tcPr>
            <w:tcW w:w="0" w:type="dxa"/>
            <w:vAlign w:val="bottom"/>
          </w:tcPr>
          <w:p>
            <w:pPr>
              <w:spacing w:after="0"/>
              <w:rPr>
                <w:sz w:val="1"/>
                <w:szCs w:val="1"/>
                <w:color w:val="auto"/>
              </w:rPr>
            </w:pPr>
          </w:p>
        </w:tc>
      </w:tr>
      <w:tr>
        <w:trPr>
          <w:trHeight w:val="192"/>
        </w:trPr>
        <w:tc>
          <w:tcPr>
            <w:tcW w:w="800" w:type="dxa"/>
            <w:vAlign w:val="bottom"/>
          </w:tcPr>
          <w:p>
            <w:pPr>
              <w:ind w:left="160"/>
              <w:spacing w:after="0"/>
              <w:rPr>
                <w:sz w:val="20"/>
                <w:szCs w:val="20"/>
                <w:color w:val="auto"/>
              </w:rPr>
            </w:pPr>
            <w:r>
              <w:rPr>
                <w:rFonts w:ascii="Arial" w:cs="Arial" w:eastAsia="Arial" w:hAnsi="Arial"/>
                <w:sz w:val="16"/>
                <w:szCs w:val="16"/>
                <w:color w:val="auto"/>
              </w:rPr>
              <w:t>Deemed</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w w:val="97"/>
              </w:rPr>
              <w:t>dividend</w:t>
            </w:r>
          </w:p>
        </w:tc>
        <w:tc>
          <w:tcPr>
            <w:tcW w:w="620" w:type="dxa"/>
            <w:vAlign w:val="bottom"/>
            <w:gridSpan w:val="2"/>
          </w:tcPr>
          <w:p>
            <w:pPr>
              <w:jc w:val="right"/>
              <w:ind w:right="19"/>
              <w:spacing w:after="0"/>
              <w:rPr>
                <w:sz w:val="20"/>
                <w:szCs w:val="20"/>
                <w:color w:val="auto"/>
              </w:rPr>
            </w:pPr>
            <w:r>
              <w:rPr>
                <w:rFonts w:ascii="Arial" w:cs="Arial" w:eastAsia="Arial" w:hAnsi="Arial"/>
                <w:sz w:val="16"/>
                <w:szCs w:val="16"/>
                <w:color w:val="auto"/>
              </w:rPr>
              <w:t>related</w:t>
            </w:r>
          </w:p>
        </w:tc>
        <w:tc>
          <w:tcPr>
            <w:tcW w:w="440" w:type="dxa"/>
            <w:vAlign w:val="bottom"/>
            <w:gridSpan w:val="2"/>
          </w:tcPr>
          <w:p>
            <w:pPr>
              <w:jc w:val="right"/>
              <w:ind w:right="142"/>
              <w:spacing w:after="0"/>
              <w:rPr>
                <w:sz w:val="20"/>
                <w:szCs w:val="20"/>
                <w:color w:val="auto"/>
              </w:rPr>
            </w:pPr>
            <w:r>
              <w:rPr>
                <w:rFonts w:ascii="Arial" w:cs="Arial" w:eastAsia="Arial" w:hAnsi="Arial"/>
                <w:sz w:val="16"/>
                <w:szCs w:val="16"/>
                <w:color w:val="auto"/>
                <w:w w:val="89"/>
              </w:rPr>
              <w:t>the</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rPr>
              <w:t>June</w:t>
            </w:r>
          </w:p>
        </w:tc>
        <w:tc>
          <w:tcPr>
            <w:tcW w:w="620" w:type="dxa"/>
            <w:vAlign w:val="bottom"/>
            <w:gridSpan w:val="2"/>
          </w:tcPr>
          <w:p>
            <w:pPr>
              <w:ind w:left="20"/>
              <w:spacing w:after="0"/>
              <w:rPr>
                <w:sz w:val="20"/>
                <w:szCs w:val="20"/>
                <w:color w:val="auto"/>
              </w:rPr>
            </w:pPr>
            <w:r>
              <w:rPr>
                <w:rFonts w:ascii="Arial" w:cs="Arial" w:eastAsia="Arial" w:hAnsi="Arial"/>
                <w:sz w:val="16"/>
                <w:szCs w:val="16"/>
                <w:color w:val="auto"/>
              </w:rPr>
              <w:t>2021</w:t>
            </w:r>
          </w:p>
        </w:tc>
        <w:tc>
          <w:tcPr>
            <w:tcW w:w="1060" w:type="dxa"/>
            <w:vAlign w:val="bottom"/>
            <w:gridSpan w:val="4"/>
          </w:tcPr>
          <w:p>
            <w:pPr>
              <w:jc w:val="right"/>
              <w:ind w:right="142"/>
              <w:spacing w:after="0"/>
              <w:rPr>
                <w:sz w:val="20"/>
                <w:szCs w:val="20"/>
                <w:color w:val="auto"/>
              </w:rPr>
            </w:pPr>
            <w:r>
              <w:rPr>
                <w:rFonts w:ascii="Arial" w:cs="Arial" w:eastAsia="Arial" w:hAnsi="Arial"/>
                <w:sz w:val="16"/>
                <w:szCs w:val="16"/>
                <w:color w:val="auto"/>
                <w:w w:val="98"/>
              </w:rPr>
              <w:t>Inducement</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960" w:type="dxa"/>
            <w:vAlign w:val="bottom"/>
            <w:gridSpan w:val="2"/>
          </w:tcPr>
          <w:p>
            <w:pPr>
              <w:ind w:left="160"/>
              <w:spacing w:after="0"/>
              <w:rPr>
                <w:sz w:val="20"/>
                <w:szCs w:val="20"/>
                <w:color w:val="auto"/>
              </w:rPr>
            </w:pPr>
            <w:r>
              <w:rPr>
                <w:rFonts w:ascii="Arial" w:cs="Arial" w:eastAsia="Arial" w:hAnsi="Arial"/>
                <w:sz w:val="16"/>
                <w:szCs w:val="16"/>
                <w:color w:val="auto"/>
                <w:w w:val="93"/>
              </w:rPr>
              <w:t>Transaction</w:t>
            </w: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(16,898)</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(16,898)</w:t>
            </w:r>
          </w:p>
        </w:tc>
        <w:tc>
          <w:tcPr>
            <w:tcW w:w="0" w:type="dxa"/>
            <w:vAlign w:val="bottom"/>
          </w:tcPr>
          <w:p>
            <w:pPr>
              <w:spacing w:after="0"/>
              <w:rPr>
                <w:sz w:val="1"/>
                <w:szCs w:val="1"/>
                <w:color w:val="auto"/>
              </w:rPr>
            </w:pPr>
          </w:p>
        </w:tc>
      </w:tr>
      <w:tr>
        <w:trPr>
          <w:trHeight w:val="195"/>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Offering</w:t>
            </w:r>
          </w:p>
        </w:tc>
        <w:tc>
          <w:tcPr>
            <w:tcW w:w="6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4"/>
              </w:rPr>
              <w:t>expenses</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charged</w:t>
            </w:r>
          </w:p>
        </w:tc>
        <w:tc>
          <w:tcPr>
            <w:tcW w:w="440" w:type="dxa"/>
            <w:vAlign w:val="bottom"/>
            <w:gridSpan w:val="2"/>
            <w:shd w:val="clear" w:color="auto" w:fill="CCEEFF"/>
          </w:tcPr>
          <w:p>
            <w:pPr>
              <w:jc w:val="right"/>
              <w:ind w:right="142"/>
              <w:spacing w:after="0"/>
              <w:rPr>
                <w:sz w:val="20"/>
                <w:szCs w:val="20"/>
                <w:color w:val="auto"/>
              </w:rPr>
            </w:pPr>
            <w:r>
              <w:rPr>
                <w:rFonts w:ascii="Arial" w:cs="Arial" w:eastAsia="Arial" w:hAnsi="Arial"/>
                <w:sz w:val="16"/>
                <w:szCs w:val="16"/>
                <w:color w:val="auto"/>
              </w:rPr>
              <w:t>to</w:t>
            </w: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800" w:type="dxa"/>
            <w:vAlign w:val="bottom"/>
            <w:shd w:val="clear" w:color="auto" w:fill="CCEEFF"/>
          </w:tcPr>
          <w:p>
            <w:pPr>
              <w:ind w:left="160"/>
              <w:spacing w:after="0"/>
              <w:rPr>
                <w:sz w:val="20"/>
                <w:szCs w:val="20"/>
                <w:color w:val="auto"/>
              </w:rPr>
            </w:pPr>
            <w:r>
              <w:rPr>
                <w:rFonts w:ascii="Arial" w:cs="Arial" w:eastAsia="Arial" w:hAnsi="Arial"/>
                <w:sz w:val="16"/>
                <w:szCs w:val="16"/>
                <w:color w:val="auto"/>
              </w:rPr>
              <w:t>equity</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92"/>
        </w:trPr>
        <w:tc>
          <w:tcPr>
            <w:tcW w:w="2480" w:type="dxa"/>
            <w:vAlign w:val="bottom"/>
            <w:gridSpan w:val="7"/>
          </w:tcPr>
          <w:p>
            <w:pPr>
              <w:ind w:left="160"/>
              <w:spacing w:after="0"/>
              <w:rPr>
                <w:sz w:val="20"/>
                <w:szCs w:val="20"/>
                <w:color w:val="auto"/>
              </w:rPr>
            </w:pPr>
            <w:r>
              <w:rPr>
                <w:rFonts w:ascii="Arial" w:cs="Arial" w:eastAsia="Arial" w:hAnsi="Arial"/>
                <w:sz w:val="16"/>
                <w:szCs w:val="16"/>
                <w:color w:val="auto"/>
              </w:rPr>
              <w:t>Issuance of common stock in</w:t>
            </w: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0" w:type="dxa"/>
            <w:vAlign w:val="bottom"/>
          </w:tcPr>
          <w:p>
            <w:pPr>
              <w:ind w:left="160"/>
              <w:spacing w:after="0"/>
              <w:rPr>
                <w:sz w:val="20"/>
                <w:szCs w:val="20"/>
                <w:color w:val="auto"/>
              </w:rPr>
            </w:pPr>
            <w:r>
              <w:rPr>
                <w:rFonts w:ascii="Arial" w:cs="Arial" w:eastAsia="Arial" w:hAnsi="Arial"/>
                <w:sz w:val="16"/>
                <w:szCs w:val="16"/>
                <w:color w:val="auto"/>
                <w:w w:val="89"/>
              </w:rPr>
              <w:t>exchange</w:t>
            </w:r>
          </w:p>
        </w:tc>
        <w:tc>
          <w:tcPr>
            <w:tcW w:w="160" w:type="dxa"/>
            <w:vAlign w:val="bottom"/>
          </w:tcPr>
          <w:p>
            <w:pPr>
              <w:spacing w:after="0"/>
              <w:rPr>
                <w:sz w:val="17"/>
                <w:szCs w:val="17"/>
                <w:color w:val="auto"/>
              </w:rPr>
            </w:pPr>
          </w:p>
        </w:tc>
        <w:tc>
          <w:tcPr>
            <w:tcW w:w="460" w:type="dxa"/>
            <w:vAlign w:val="bottom"/>
          </w:tcPr>
          <w:p>
            <w:pPr>
              <w:ind w:left="120"/>
              <w:spacing w:after="0"/>
              <w:rPr>
                <w:sz w:val="20"/>
                <w:szCs w:val="20"/>
                <w:color w:val="auto"/>
              </w:rPr>
            </w:pPr>
            <w:r>
              <w:rPr>
                <w:rFonts w:ascii="Arial" w:cs="Arial" w:eastAsia="Arial" w:hAnsi="Arial"/>
                <w:sz w:val="16"/>
                <w:szCs w:val="16"/>
                <w:color w:val="auto"/>
              </w:rPr>
              <w:t>for</w:t>
            </w:r>
          </w:p>
        </w:tc>
        <w:tc>
          <w:tcPr>
            <w:tcW w:w="1060" w:type="dxa"/>
            <w:vAlign w:val="bottom"/>
            <w:gridSpan w:val="4"/>
          </w:tcPr>
          <w:p>
            <w:pPr>
              <w:jc w:val="right"/>
              <w:ind w:right="142"/>
              <w:spacing w:after="0"/>
              <w:rPr>
                <w:sz w:val="20"/>
                <w:szCs w:val="20"/>
                <w:color w:val="auto"/>
              </w:rPr>
            </w:pPr>
            <w:r>
              <w:rPr>
                <w:rFonts w:ascii="Arial" w:cs="Arial" w:eastAsia="Arial" w:hAnsi="Arial"/>
                <w:sz w:val="16"/>
                <w:szCs w:val="16"/>
                <w:color w:val="auto"/>
              </w:rPr>
              <w:t>consulting</w:t>
            </w:r>
          </w:p>
        </w:tc>
        <w:tc>
          <w:tcPr>
            <w:tcW w:w="920" w:type="dxa"/>
            <w:vAlign w:val="bottom"/>
            <w:vMerge w:val="restart"/>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vMerge w:val="restart"/>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72</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vMerge w:val="restart"/>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vMerge w:val="restart"/>
          </w:tcPr>
          <w:p>
            <w:pPr>
              <w:jc w:val="right"/>
              <w:ind w:right="19"/>
              <w:spacing w:after="0"/>
              <w:rPr>
                <w:sz w:val="20"/>
                <w:szCs w:val="20"/>
                <w:color w:val="auto"/>
              </w:rPr>
            </w:pPr>
            <w:r>
              <w:rPr>
                <w:rFonts w:ascii="Arial" w:cs="Arial" w:eastAsia="Arial" w:hAnsi="Arial"/>
                <w:sz w:val="16"/>
                <w:szCs w:val="16"/>
                <w:color w:val="auto"/>
              </w:rPr>
              <w:t>72</w:t>
            </w:r>
          </w:p>
        </w:tc>
        <w:tc>
          <w:tcPr>
            <w:tcW w:w="0" w:type="dxa"/>
            <w:vAlign w:val="bottom"/>
          </w:tcPr>
          <w:p>
            <w:pPr>
              <w:spacing w:after="0"/>
              <w:rPr>
                <w:sz w:val="1"/>
                <w:szCs w:val="1"/>
                <w:color w:val="auto"/>
              </w:rPr>
            </w:pPr>
          </w:p>
        </w:tc>
      </w:tr>
      <w:tr>
        <w:trPr>
          <w:trHeight w:val="198"/>
        </w:trPr>
        <w:tc>
          <w:tcPr>
            <w:tcW w:w="800" w:type="dxa"/>
            <w:vAlign w:val="bottom"/>
          </w:tcPr>
          <w:p>
            <w:pPr>
              <w:ind w:left="160"/>
              <w:spacing w:after="0"/>
              <w:rPr>
                <w:sz w:val="20"/>
                <w:szCs w:val="20"/>
                <w:color w:val="auto"/>
              </w:rPr>
            </w:pPr>
            <w:r>
              <w:rPr>
                <w:rFonts w:ascii="Arial" w:cs="Arial" w:eastAsia="Arial" w:hAnsi="Arial"/>
                <w:sz w:val="16"/>
                <w:szCs w:val="16"/>
                <w:color w:val="auto"/>
              </w:rPr>
              <w:t>services</w:t>
            </w: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vMerge w:val="continue"/>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40" w:type="dxa"/>
            <w:vAlign w:val="bottom"/>
            <w:gridSpan w:val="5"/>
            <w:shd w:val="clear" w:color="auto" w:fill="CCEEFF"/>
          </w:tcPr>
          <w:p>
            <w:pPr>
              <w:spacing w:after="0"/>
              <w:rPr>
                <w:sz w:val="20"/>
                <w:szCs w:val="20"/>
                <w:color w:val="auto"/>
              </w:rPr>
            </w:pPr>
            <w:r>
              <w:rPr>
                <w:rFonts w:ascii="Arial" w:cs="Arial" w:eastAsia="Arial" w:hAnsi="Arial"/>
                <w:sz w:val="16"/>
                <w:szCs w:val="16"/>
                <w:color w:val="auto"/>
                <w:w w:val="99"/>
              </w:rPr>
              <w:t>Balance as of June 30, 2021</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393,227</w:t>
            </w:r>
          </w:p>
        </w:tc>
        <w:tc>
          <w:tcPr>
            <w:tcW w:w="2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(262,567)</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130,663</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ectPr>
          <w:pgSz w:w="11900" w:h="16838" w:orient="portrait"/>
          <w:cols w:equalWidth="0" w:num="1">
            <w:col w:w="11240"/>
          </w:cols>
          <w:pgMar w:left="320" w:top="125" w:right="339" w:bottom="211"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211"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 CONDENSED STATEMENTS OF CHANGES IN STOCKHOLDERS’ DEFICIT, CONTINUED</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ectPr>
          <w:pgSz w:w="11900" w:h="16838" w:orient="portrait"/>
          <w:cols w:equalWidth="0" w:num="1">
            <w:col w:w="11240"/>
          </w:cols>
          <w:pgMar w:left="320" w:top="125"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60" w:right="320" w:hanging="160"/>
        <w:spacing w:after="0" w:line="265" w:lineRule="auto"/>
        <w:rPr>
          <w:sz w:val="20"/>
          <w:szCs w:val="20"/>
          <w:color w:val="auto"/>
        </w:rPr>
      </w:pPr>
      <w:r>
        <w:rPr>
          <w:rFonts w:ascii="Arial" w:cs="Arial" w:eastAsia="Arial" w:hAnsi="Arial"/>
          <w:sz w:val="16"/>
          <w:szCs w:val="16"/>
          <w:color w:val="auto"/>
        </w:rPr>
        <w:t>Balance as of January 1, 2020 Net loss</w:t>
      </w:r>
    </w:p>
    <w:p>
      <w:pPr>
        <w:spacing w:after="0" w:line="1"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Stock-based compensation expense</w:t>
      </w:r>
    </w:p>
    <w:p>
      <w:pPr>
        <w:spacing w:after="0" w:line="1"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equity line of credit</w:t>
      </w:r>
    </w:p>
    <w:p>
      <w:pPr>
        <w:spacing w:after="0" w:line="2" w:lineRule="exact"/>
        <w:rPr>
          <w:sz w:val="20"/>
          <w:szCs w:val="20"/>
          <w:color w:val="auto"/>
        </w:rPr>
      </w:pPr>
    </w:p>
    <w:p>
      <w:pPr>
        <w:ind w:left="160"/>
        <w:spacing w:after="0" w:line="264" w:lineRule="auto"/>
        <w:rPr>
          <w:sz w:val="20"/>
          <w:szCs w:val="20"/>
          <w:color w:val="auto"/>
        </w:rPr>
      </w:pPr>
      <w:r>
        <w:rPr>
          <w:rFonts w:ascii="Arial" w:cs="Arial" w:eastAsia="Arial" w:hAnsi="Arial"/>
          <w:sz w:val="16"/>
          <w:szCs w:val="16"/>
          <w:color w:val="auto"/>
        </w:rPr>
        <w:t>Issuance of common stock in connection with Deerfield Optional Conversion Feature Recognition of deferred offering costs in connection with equity line of credit Offering expenses charged to equity</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Balance as of March 31, 2020</w:t>
      </w:r>
    </w:p>
    <w:p>
      <w:pPr>
        <w:spacing w:after="0" w:line="2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Net income</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Stock-based compensation</w:t>
      </w:r>
    </w:p>
    <w:p>
      <w:pPr>
        <w:spacing w:after="0" w:line="1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expense</w:t>
      </w:r>
    </w:p>
    <w:p>
      <w:pPr>
        <w:spacing w:after="0" w:line="18" w:lineRule="exact"/>
        <w:rPr>
          <w:sz w:val="20"/>
          <w:szCs w:val="20"/>
          <w:color w:val="auto"/>
        </w:rPr>
      </w:pPr>
    </w:p>
    <w:p>
      <w:pPr>
        <w:jc w:val="both"/>
        <w:ind w:left="160"/>
        <w:spacing w:after="0" w:line="262" w:lineRule="auto"/>
        <w:rPr>
          <w:sz w:val="20"/>
          <w:szCs w:val="20"/>
          <w:color w:val="auto"/>
        </w:rPr>
      </w:pPr>
      <w:r>
        <w:rPr>
          <w:rFonts w:ascii="Arial" w:cs="Arial" w:eastAsia="Arial" w:hAnsi="Arial"/>
          <w:sz w:val="16"/>
          <w:szCs w:val="16"/>
          <w:color w:val="auto"/>
        </w:rPr>
        <w:t>Issuance of common stock in connection with equity line of credit</w:t>
      </w:r>
    </w:p>
    <w:p>
      <w:pPr>
        <w:spacing w:after="0" w:line="2"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Issuance of common stock in connection with Deerfield Optional Conversion Feature Offering expenses charged to equity</w:t>
      </w:r>
    </w:p>
    <w:p>
      <w:pPr>
        <w:spacing w:after="0" w:line="3" w:lineRule="exact"/>
        <w:rPr>
          <w:sz w:val="20"/>
          <w:szCs w:val="20"/>
          <w:color w:val="auto"/>
        </w:rPr>
      </w:pPr>
    </w:p>
    <w:p>
      <w:pPr>
        <w:jc w:val="both"/>
        <w:ind w:left="160"/>
        <w:spacing w:after="0" w:line="274" w:lineRule="auto"/>
        <w:rPr>
          <w:sz w:val="20"/>
          <w:szCs w:val="20"/>
          <w:color w:val="auto"/>
        </w:rPr>
      </w:pPr>
      <w:r>
        <w:rPr>
          <w:rFonts w:ascii="Arial" w:cs="Arial" w:eastAsia="Arial" w:hAnsi="Arial"/>
          <w:sz w:val="16"/>
          <w:szCs w:val="16"/>
          <w:color w:val="auto"/>
        </w:rPr>
        <w:t>Issuance of common stock in exchange for consulting services</w:t>
      </w: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Balance as of June 30, 2020</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20" w:type="dxa"/>
            <w:vAlign w:val="bottom"/>
            <w:tcBorders>
              <w:bottom w:val="single" w:sz="8" w:color="auto"/>
            </w:tcBorders>
            <w:gridSpan w:val="4"/>
          </w:tcPr>
          <w:p>
            <w:pPr>
              <w:ind w:left="380"/>
              <w:spacing w:after="0"/>
              <w:rPr>
                <w:sz w:val="20"/>
                <w:szCs w:val="20"/>
                <w:color w:val="auto"/>
              </w:rPr>
            </w:pPr>
            <w:r>
              <w:rPr>
                <w:rFonts w:ascii="Arial" w:cs="Arial" w:eastAsia="Arial" w:hAnsi="Arial"/>
                <w:sz w:val="16"/>
                <w:szCs w:val="16"/>
                <w:b w:val="1"/>
                <w:bCs w:val="1"/>
                <w:color w:val="auto"/>
              </w:rPr>
              <w:t>Preferred Stock</w:t>
            </w:r>
          </w:p>
        </w:tc>
        <w:tc>
          <w:tcPr>
            <w:tcW w:w="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184"/>
        </w:trPr>
        <w:tc>
          <w:tcPr>
            <w:tcW w:w="10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7"/>
              </w:rPr>
              <w:t>Series A</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86"/>
              </w:rPr>
              <w:t>Series B-1</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86"/>
              </w:rPr>
              <w:t>Series B-2</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2"/>
        </w:trPr>
        <w:tc>
          <w:tcPr>
            <w:tcW w:w="10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3"/>
              </w:rPr>
              <w:t>Convertible</w:t>
            </w:r>
          </w:p>
        </w:tc>
        <w:tc>
          <w:tcPr>
            <w:tcW w:w="120" w:type="dxa"/>
            <w:vAlign w:val="bottom"/>
          </w:tcPr>
          <w:p>
            <w:pPr>
              <w:spacing w:after="0"/>
              <w:rPr>
                <w:sz w:val="17"/>
                <w:szCs w:val="17"/>
                <w:color w:val="auto"/>
              </w:rPr>
            </w:pPr>
          </w:p>
        </w:tc>
        <w:tc>
          <w:tcPr>
            <w:tcW w:w="98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w w:val="90"/>
              </w:rPr>
              <w:t>Convertible</w:t>
            </w:r>
          </w:p>
        </w:tc>
        <w:tc>
          <w:tcPr>
            <w:tcW w:w="120" w:type="dxa"/>
            <w:vAlign w:val="bottom"/>
          </w:tcPr>
          <w:p>
            <w:pPr>
              <w:spacing w:after="0"/>
              <w:rPr>
                <w:sz w:val="17"/>
                <w:szCs w:val="17"/>
                <w:color w:val="auto"/>
              </w:rPr>
            </w:pPr>
          </w:p>
        </w:tc>
        <w:tc>
          <w:tcPr>
            <w:tcW w:w="1000" w:type="dxa"/>
            <w:vAlign w:val="bottom"/>
            <w:gridSpan w:val="2"/>
          </w:tcPr>
          <w:p>
            <w:pPr>
              <w:jc w:val="center"/>
              <w:ind w:right="39"/>
              <w:spacing w:after="0"/>
              <w:rPr>
                <w:sz w:val="20"/>
                <w:szCs w:val="20"/>
                <w:color w:val="auto"/>
              </w:rPr>
            </w:pPr>
            <w:r>
              <w:rPr>
                <w:rFonts w:ascii="Arial" w:cs="Arial" w:eastAsia="Arial" w:hAnsi="Arial"/>
                <w:sz w:val="16"/>
                <w:szCs w:val="16"/>
                <w:b w:val="1"/>
                <w:bCs w:val="1"/>
                <w:color w:val="auto"/>
                <w:w w:val="90"/>
              </w:rPr>
              <w:t>Convertible</w:t>
            </w:r>
          </w:p>
        </w:tc>
        <w:tc>
          <w:tcPr>
            <w:tcW w:w="1140" w:type="dxa"/>
            <w:vAlign w:val="bottom"/>
            <w:gridSpan w:val="3"/>
          </w:tcPr>
          <w:p>
            <w:pPr>
              <w:jc w:val="right"/>
              <w:ind w:right="19"/>
              <w:spacing w:after="0"/>
              <w:rPr>
                <w:sz w:val="20"/>
                <w:szCs w:val="20"/>
                <w:color w:val="auto"/>
              </w:rPr>
            </w:pPr>
            <w:r>
              <w:rPr>
                <w:rFonts w:ascii="Arial" w:cs="Arial" w:eastAsia="Arial" w:hAnsi="Arial"/>
                <w:sz w:val="16"/>
                <w:szCs w:val="16"/>
                <w:b w:val="1"/>
                <w:bCs w:val="1"/>
                <w:color w:val="auto"/>
                <w:w w:val="96"/>
              </w:rPr>
              <w:t>Undesignated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Arial" w:cs="Arial" w:eastAsia="Arial" w:hAnsi="Arial"/>
                <w:sz w:val="16"/>
                <w:szCs w:val="16"/>
                <w:b w:val="1"/>
                <w:bCs w:val="1"/>
                <w:color w:val="auto"/>
                <w:w w:val="99"/>
              </w:rPr>
              <w:t>Additional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202"/>
        </w:trPr>
        <w:tc>
          <w:tcPr>
            <w:tcW w:w="10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jc w:val="center"/>
              <w:ind w:right="9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right="119"/>
              <w:spacing w:after="0"/>
              <w:rPr>
                <w:sz w:val="20"/>
                <w:szCs w:val="20"/>
                <w:color w:val="auto"/>
              </w:rPr>
            </w:pPr>
            <w:r>
              <w:rPr>
                <w:rFonts w:ascii="Arial" w:cs="Arial" w:eastAsia="Arial" w:hAnsi="Arial"/>
                <w:sz w:val="16"/>
                <w:szCs w:val="16"/>
                <w:b w:val="1"/>
                <w:bCs w:val="1"/>
                <w:color w:val="auto"/>
                <w:w w:val="95"/>
              </w:rPr>
              <w:t>Preferred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59"/>
              <w:spacing w:after="0"/>
              <w:rPr>
                <w:sz w:val="20"/>
                <w:szCs w:val="20"/>
                <w:color w:val="auto"/>
              </w:rPr>
            </w:pPr>
            <w:r>
              <w:rPr>
                <w:rFonts w:ascii="Arial" w:cs="Arial" w:eastAsia="Arial" w:hAnsi="Arial"/>
                <w:sz w:val="16"/>
                <w:szCs w:val="16"/>
                <w:b w:val="1"/>
                <w:bCs w:val="1"/>
                <w:color w:val="auto"/>
                <w:w w:val="95"/>
              </w:rPr>
              <w:t>Preferred</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20"/>
              <w:spacing w:after="0"/>
              <w:rPr>
                <w:sz w:val="20"/>
                <w:szCs w:val="20"/>
                <w:color w:val="auto"/>
              </w:rPr>
            </w:pPr>
            <w:r>
              <w:rPr>
                <w:rFonts w:ascii="Arial" w:cs="Arial" w:eastAsia="Arial" w:hAnsi="Arial"/>
                <w:sz w:val="16"/>
                <w:szCs w:val="16"/>
                <w:b w:val="1"/>
                <w:bCs w:val="1"/>
                <w:color w:val="auto"/>
              </w:rPr>
              <w:t>Common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219"/>
              <w:spacing w:after="0"/>
              <w:rPr>
                <w:sz w:val="20"/>
                <w:szCs w:val="20"/>
                <w:color w:val="auto"/>
              </w:rPr>
            </w:pPr>
            <w:r>
              <w:rPr>
                <w:rFonts w:ascii="Arial" w:cs="Arial" w:eastAsia="Arial" w:hAnsi="Arial"/>
                <w:sz w:val="16"/>
                <w:szCs w:val="16"/>
                <w:b w:val="1"/>
                <w:bCs w:val="1"/>
                <w:color w:val="auto"/>
              </w:rPr>
              <w:t>Paid-in</w:t>
            </w:r>
          </w:p>
        </w:tc>
        <w:tc>
          <w:tcPr>
            <w:tcW w:w="1120" w:type="dxa"/>
            <w:vAlign w:val="bottom"/>
            <w:gridSpan w:val="3"/>
          </w:tcPr>
          <w:p>
            <w:pPr>
              <w:ind w:left="120"/>
              <w:spacing w:after="0"/>
              <w:rPr>
                <w:sz w:val="20"/>
                <w:szCs w:val="20"/>
                <w:color w:val="auto"/>
              </w:rPr>
            </w:pPr>
            <w:r>
              <w:rPr>
                <w:rFonts w:ascii="Arial" w:cs="Arial" w:eastAsia="Arial" w:hAnsi="Arial"/>
                <w:sz w:val="16"/>
                <w:szCs w:val="16"/>
                <w:b w:val="1"/>
                <w:bCs w:val="1"/>
                <w:color w:val="auto"/>
                <w:w w:val="97"/>
              </w:rPr>
              <w:t>Accumulated</w:t>
            </w:r>
          </w:p>
        </w:tc>
        <w:tc>
          <w:tcPr>
            <w:tcW w:w="1160" w:type="dxa"/>
            <w:vAlign w:val="bottom"/>
            <w:gridSpan w:val="3"/>
          </w:tcPr>
          <w:p>
            <w:pPr>
              <w:ind w:left="120"/>
              <w:spacing w:after="0"/>
              <w:rPr>
                <w:sz w:val="20"/>
                <w:szCs w:val="20"/>
                <w:color w:val="auto"/>
              </w:rPr>
            </w:pPr>
            <w:r>
              <w:rPr>
                <w:rFonts w:ascii="Arial" w:cs="Arial" w:eastAsia="Arial" w:hAnsi="Arial"/>
                <w:sz w:val="16"/>
                <w:szCs w:val="16"/>
                <w:b w:val="1"/>
                <w:bCs w:val="1"/>
                <w:color w:val="auto"/>
                <w:w w:val="96"/>
              </w:rPr>
              <w:t>Stockholders'</w:t>
            </w:r>
          </w:p>
        </w:tc>
      </w:tr>
      <w:tr>
        <w:trPr>
          <w:trHeight w:val="213"/>
        </w:trPr>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87"/>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w w:val="91"/>
              </w:rPr>
              <w:t>Stock</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1"/>
              </w:rPr>
              <w:t>Stock</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Stock</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Capital</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Deficit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Deficit</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171,258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(245,714)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(74,456)</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(5,754)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(5,754)</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1,029</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1,029</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1,112</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9,600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9,600</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121</w:t>
            </w:r>
          </w:p>
        </w:tc>
      </w:tr>
      <w:tr>
        <w:trPr>
          <w:trHeight w:val="393"/>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(327)</w:t>
            </w:r>
          </w:p>
        </w:tc>
      </w:tr>
      <w:tr>
        <w:trPr>
          <w:trHeight w:val="198"/>
        </w:trPr>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182,793</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(251,468)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(68,675)</w:t>
            </w:r>
          </w:p>
        </w:tc>
      </w:tr>
      <w:tr>
        <w:trPr>
          <w:trHeight w:val="199"/>
        </w:trPr>
        <w:tc>
          <w:tcPr>
            <w:tcW w:w="100" w:type="dxa"/>
            <w:vAlign w:val="bottom"/>
          </w:tcPr>
          <w:p>
            <w:pPr>
              <w:spacing w:after="0"/>
              <w:rPr>
                <w:sz w:val="17"/>
                <w:szCs w:val="17"/>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859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859</w:t>
            </w:r>
          </w:p>
        </w:tc>
      </w:tr>
      <w:tr>
        <w:trPr>
          <w:trHeight w:val="39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620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620</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1,191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1,191</w:t>
            </w:r>
          </w:p>
        </w:tc>
      </w:tr>
      <w:tr>
        <w:trPr>
          <w:trHeight w:val="605"/>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3,150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ind w:right="19"/>
              <w:spacing w:after="0"/>
              <w:rPr>
                <w:sz w:val="20"/>
                <w:szCs w:val="20"/>
                <w:color w:val="auto"/>
              </w:rPr>
            </w:pPr>
            <w:r>
              <w:rPr>
                <w:rFonts w:ascii="Arial" w:cs="Arial" w:eastAsia="Arial" w:hAnsi="Arial"/>
                <w:sz w:val="16"/>
                <w:szCs w:val="16"/>
                <w:color w:val="auto"/>
              </w:rPr>
              <w:t>3,150</w:t>
            </w:r>
          </w:p>
        </w:tc>
      </w:tr>
      <w:tr>
        <w:trPr>
          <w:trHeight w:val="403"/>
        </w:trPr>
        <w:tc>
          <w:tcPr>
            <w:tcW w:w="100" w:type="dxa"/>
            <w:vAlign w:val="bottom"/>
          </w:tcPr>
          <w:p>
            <w:pPr>
              <w:spacing w:after="0"/>
              <w:rPr>
                <w:sz w:val="24"/>
                <w:szCs w:val="24"/>
                <w:color w:val="auto"/>
              </w:rPr>
            </w:pPr>
          </w:p>
        </w:tc>
        <w:tc>
          <w:tcPr>
            <w:tcW w:w="920" w:type="dxa"/>
            <w:vAlign w:val="bottom"/>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(92)</w:t>
            </w:r>
          </w:p>
        </w:tc>
      </w:tr>
      <w:tr>
        <w:trPr>
          <w:trHeight w:val="594"/>
        </w:trPr>
        <w:tc>
          <w:tcPr>
            <w:tcW w:w="1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w:t>
            </w:r>
          </w:p>
        </w:tc>
      </w:tr>
      <w:tr>
        <w:trPr>
          <w:trHeight w:val="198"/>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187,746</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(250,609)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(62,863)</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-1506220</wp:posOffset>
            </wp:positionH>
            <wp:positionV relativeFrom="paragraph">
              <wp:posOffset>-4009390</wp:posOffset>
            </wp:positionV>
            <wp:extent cx="7132955" cy="1365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-3745230</wp:posOffset>
            </wp:positionV>
            <wp:extent cx="7132955" cy="255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-3105150</wp:posOffset>
            </wp:positionV>
            <wp:extent cx="7132955" cy="384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-2337435</wp:posOffset>
            </wp:positionV>
            <wp:extent cx="7132955" cy="255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-1945005</wp:posOffset>
            </wp:positionV>
            <wp:extent cx="713295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955" cy="128270"/>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-1560830</wp:posOffset>
            </wp:positionV>
            <wp:extent cx="7132955" cy="3841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955" cy="38417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-793115</wp:posOffset>
            </wp:positionV>
            <wp:extent cx="7132955" cy="255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955" cy="25590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-153035</wp:posOffset>
            </wp:positionV>
            <wp:extent cx="7132955" cy="1536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955" cy="153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260" w:space="120"/>
            <w:col w:w="8860"/>
          </w:cols>
          <w:pgMar w:left="320" w:top="125" w:right="339" w:bottom="1440" w:gutter="0" w:footer="0" w:header="0"/>
          <w:type w:val="continuous"/>
        </w:sectPr>
      </w:pP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See accompanying notes to unaudited condensed financial statements</w:t>
      </w: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7"/>
        </w:trPr>
        <w:tc>
          <w:tcPr>
            <w:tcW w:w="7640" w:type="dxa"/>
            <w:vAlign w:val="bottom"/>
            <w:gridSpan w:val="3"/>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9"/>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360" w:type="dxa"/>
            <w:vAlign w:val="bottom"/>
          </w:tcPr>
          <w:p>
            <w:pPr>
              <w:jc w:val="center"/>
              <w:ind w:left="2230"/>
              <w:spacing w:after="0"/>
              <w:rPr>
                <w:sz w:val="20"/>
                <w:szCs w:val="20"/>
                <w:color w:val="auto"/>
              </w:rPr>
            </w:pPr>
            <w:r>
              <w:rPr>
                <w:rFonts w:ascii="Arial" w:cs="Arial" w:eastAsia="Arial" w:hAnsi="Arial"/>
                <w:sz w:val="18"/>
                <w:szCs w:val="18"/>
                <w:b w:val="1"/>
                <w:bCs w:val="1"/>
                <w:color w:val="auto"/>
              </w:rPr>
              <w:t>KEMPHARM, INC.</w:t>
            </w:r>
          </w:p>
        </w:tc>
        <w:tc>
          <w:tcPr>
            <w:tcW w:w="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60" w:type="dxa"/>
            <w:vAlign w:val="bottom"/>
            <w:gridSpan w:val="3"/>
          </w:tcPr>
          <w:p>
            <w:pPr>
              <w:jc w:val="center"/>
              <w:ind w:left="1550"/>
              <w:spacing w:after="0"/>
              <w:rPr>
                <w:sz w:val="20"/>
                <w:szCs w:val="20"/>
                <w:color w:val="auto"/>
              </w:rPr>
            </w:pPr>
            <w:r>
              <w:rPr>
                <w:rFonts w:ascii="Arial" w:cs="Arial" w:eastAsia="Arial" w:hAnsi="Arial"/>
                <w:sz w:val="18"/>
                <w:szCs w:val="18"/>
                <w:b w:val="1"/>
                <w:bCs w:val="1"/>
                <w:color w:val="auto"/>
                <w:w w:val="98"/>
              </w:rPr>
              <w:t>UNAUDITED CONDENSED STATEMENTS OF CASH FLOWS</w:t>
            </w: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360" w:type="dxa"/>
            <w:vAlign w:val="bottom"/>
          </w:tcPr>
          <w:p>
            <w:pPr>
              <w:jc w:val="center"/>
              <w:ind w:left="2230"/>
              <w:spacing w:after="0"/>
              <w:rPr>
                <w:sz w:val="20"/>
                <w:szCs w:val="20"/>
                <w:color w:val="auto"/>
              </w:rPr>
            </w:pPr>
            <w:r>
              <w:rPr>
                <w:rFonts w:ascii="Arial" w:cs="Arial" w:eastAsia="Arial" w:hAnsi="Arial"/>
                <w:sz w:val="18"/>
                <w:szCs w:val="18"/>
                <w:b w:val="1"/>
                <w:bCs w:val="1"/>
                <w:color w:val="auto"/>
                <w:w w:val="87"/>
              </w:rPr>
              <w:t>(in thousands)</w:t>
            </w: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4"/>
          </w:tcPr>
          <w:p>
            <w:pPr>
              <w:jc w:val="right"/>
              <w:ind w:right="570"/>
              <w:spacing w:after="0"/>
              <w:rPr>
                <w:sz w:val="20"/>
                <w:szCs w:val="20"/>
                <w:color w:val="auto"/>
              </w:rPr>
            </w:pPr>
            <w:r>
              <w:rPr>
                <w:rFonts w:ascii="Arial" w:cs="Arial" w:eastAsia="Arial" w:hAnsi="Arial"/>
                <w:sz w:val="18"/>
                <w:szCs w:val="18"/>
                <w:b w:val="1"/>
                <w:bCs w:val="1"/>
                <w:color w:val="auto"/>
                <w:w w:val="95"/>
              </w:rPr>
              <w:t>Six months ended June 30,</w:t>
            </w:r>
          </w:p>
        </w:tc>
        <w:tc>
          <w:tcPr>
            <w:tcW w:w="0" w:type="dxa"/>
            <w:vAlign w:val="bottom"/>
          </w:tcPr>
          <w:p>
            <w:pPr>
              <w:spacing w:after="0"/>
              <w:rPr>
                <w:sz w:val="1"/>
                <w:szCs w:val="1"/>
                <w:color w:val="auto"/>
              </w:rPr>
            </w:pPr>
          </w:p>
        </w:tc>
      </w:tr>
      <w:tr>
        <w:trPr>
          <w:trHeight w:val="208"/>
        </w:trPr>
        <w:tc>
          <w:tcPr>
            <w:tcW w:w="764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764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on extinguishment of debt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16,096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993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Non-cash interest expense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2,427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Amortization of debt issuance costs and debt discount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1,145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Depreciation and amortization expense</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Fair value adjustment related to derivative and warrant liability</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Change in estimated deferred offering costs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Loss on sublease and disposal of property and equipment</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Consulting fees paid in common stock</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14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Accounts and other receivables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691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right-of-use assets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(1,702)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Operating lease liabilities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ind w:left="320"/>
              <w:spacing w:after="0"/>
              <w:rPr>
                <w:sz w:val="20"/>
                <w:szCs w:val="20"/>
                <w:color w:val="auto"/>
              </w:rPr>
            </w:pPr>
            <w:r>
              <w:rPr>
                <w:rFonts w:ascii="Arial" w:cs="Arial" w:eastAsia="Arial" w:hAnsi="Arial"/>
                <w:sz w:val="18"/>
                <w:szCs w:val="18"/>
                <w:color w:val="auto"/>
              </w:rPr>
              <w:t>Other liabilities</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2,494</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14,017</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8"/>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Public Offering, net of discounts and commissions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49,285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January 2021 Inducement Transaction, net of discounts and commissions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41,384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June 2021 Inducement Transaction, net of discounts and commissions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35,646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equity line of credit</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2,303</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Proceeds from Payment Protection Program loan</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781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offering costs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Repayment of principal on finance lease liabilities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Payment of debt issuance costs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Repayment of principal on convertible notes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(37,924)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proceeds from exercise of common stock warrants</w:t>
            </w:r>
          </w:p>
        </w:tc>
        <w:tc>
          <w:tcPr>
            <w:tcW w:w="3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29,784</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114,037</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2,836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127,973</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3,000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4,322</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3,555</w:t>
            </w: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132,295</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6,555</w:t>
            </w: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1260" w:type="dxa"/>
            <w:vAlign w:val="bottom"/>
            <w:tcBorders>
              <w:top w:val="single" w:sz="8" w:color="CCEEFF"/>
            </w:tcBorders>
          </w:tcPr>
          <w:p>
            <w:pPr>
              <w:spacing w:after="0"/>
              <w:rPr>
                <w:sz w:val="16"/>
                <w:szCs w:val="16"/>
                <w:color w:val="auto"/>
              </w:rPr>
            </w:pPr>
          </w:p>
        </w:tc>
        <w:tc>
          <w:tcPr>
            <w:tcW w:w="63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Cash paid for interest</w:t>
            </w:r>
          </w:p>
        </w:tc>
        <w:tc>
          <w:tcPr>
            <w:tcW w:w="7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207</w:t>
            </w:r>
          </w:p>
        </w:tc>
        <w:tc>
          <w:tcPr>
            <w:tcW w:w="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Facility Notes principal converted to Series B-2 Preferred Stock</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31,477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2019 Notes principal converted to common stock</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12,750</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Commitment shares issued in connection with equity line of credit included in deferred offering costs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Amounts due for property and equipment included in accounts payable and accrued expenses</w:t>
            </w: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Amounts due for deferred offering costs included in accounts payable and accrued expenses</w:t>
            </w:r>
          </w:p>
        </w:tc>
        <w:tc>
          <w:tcPr>
            <w:tcW w:w="3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20" w:type="dxa"/>
            <w:vAlign w:val="bottom"/>
            <w:gridSpan w:val="2"/>
          </w:tcPr>
          <w:p>
            <w:pPr>
              <w:spacing w:after="0"/>
              <w:rPr>
                <w:sz w:val="20"/>
                <w:szCs w:val="20"/>
                <w:color w:val="auto"/>
              </w:rPr>
            </w:pPr>
            <w:r>
              <w:rPr>
                <w:rFonts w:ascii="Arial" w:cs="Arial" w:eastAsia="Arial" w:hAnsi="Arial"/>
                <w:sz w:val="18"/>
                <w:szCs w:val="18"/>
                <w:color w:val="auto"/>
              </w:rPr>
              <w:t>Fair value of warrants issued to underwriters in connection with Public Offering</w:t>
            </w:r>
          </w:p>
        </w:tc>
        <w:tc>
          <w:tcPr>
            <w:tcW w:w="3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3,485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unaudited condensed financial statements.</w:t>
      </w:r>
    </w:p>
    <w:p>
      <w:pPr>
        <w:sectPr>
          <w:pgSz w:w="11900" w:h="16838" w:orient="portrait"/>
          <w:cols w:equalWidth="0" w:num="1">
            <w:col w:w="11240"/>
          </w:cols>
          <w:pgMar w:left="320" w:top="107" w:right="339" w:bottom="1440" w:gutter="0" w:footer="0" w:header="0"/>
        </w:sect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KEMPHARM,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00" w:lineRule="exact"/>
        <w:rPr>
          <w:sz w:val="20"/>
          <w:szCs w:val="20"/>
          <w:color w:val="auto"/>
        </w:rPr>
      </w:pPr>
    </w:p>
    <w:p>
      <w:pPr>
        <w:spacing w:after="0" w:line="246" w:lineRule="exact"/>
        <w:rPr>
          <w:sz w:val="20"/>
          <w:szCs w:val="20"/>
          <w:color w:val="auto"/>
        </w:rPr>
      </w:pPr>
    </w:p>
    <w:p>
      <w:pPr>
        <w:ind w:left="460" w:hanging="453"/>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KemPharm, Inc. (the “Company”) is a specialty pharmaceutical company focused on the discovery and development of proprietary prodrugs to treat serious medical conditions through its proprietary Ligand Activated Therapy ("LAT") technology. The Company utilizes its proprietary LAT technology to generate improved prodrug versions of U.S. Food and Drug Administration (the "FDA") approved drugs as well as to generate prodrug versions of existing compounds that may have applications for new disease indications. The Company's product candidate pipeline is focused on the high need areas of attention deficit hyperactivity disorder ("ADHD") and stimulant use disorder ("SUD"). The Company has received FDA approval for APADAZ, an immediate-release combination product containing benzhydrocodone, a prodrug of hydrocodone and acetaminophen. On March 2, 2021, the Company announced that the FDA approved the new drug application ("NDA") for AZSTARYS (formerly referred to as KP415), a once-daily product for the treatment of ADHD in patients age six years and older. The Company's additional clinical product candidate for the treatment of ADHD include KP484, and the Company's clinical product candidate for the treatment of SUD includes KP879.</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unaudited condensed financial statements have been prepared in accordance with accounting principles generally accepted in the United States of America ("U.S. GAAP") for interim financial information and with the instructions to Form 10-Q and Rule 8-03 of Regulation S-X. Accordingly, they do not include all of the information and related notes required by U.S. GAAP for complete financial statements. In the opinion of management, all adjustments (consisting of normal recurring adjustments) considered necessary for a fair presentation have been included in the accompanying financial statements. Operating results for the three and six months ended June 30, 2021 are not necessarily indicative of the results that may be expected for the full year ending December 31, 2021.</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This interim information should be read in conjunction with the audited financial statements included in the Company’s Annual Report on Form 10-K for the fiscal year ended December 31, 2020, filed with the Securities and Exchange Commission (“SEC”) on March 12,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Reverse Stock Split</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23, 2020, the Company completed a one-for-sixteen reverse stock split (the “Reverse Stock Split”), which reduced the number of shares of the Company’s common stock that were issued and outstanding immediately prior to the effectiveness of the Reverse Stock Split. The number of shares of the Company’s authorized common stock was not affected by the Reverse Stock Split and the par value of the Company’s common stock remained unchanged at $0.0001 per share. No fractional shares were issued in connection with the Reverse Stock Split. Stockholders who otherwise held fractional shares of the Company’s common stock as a result of the Reverse Stock Split received a cash payment in lieu of such fractional shares. Except where disclosed, all amounts related to number of shares and per share amounts have been retroactively restated in these unaudited condensed financial statements to reflect this Reverse Stock Split.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Entry into 2020 ELOC Agreement</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February 2020, the Company entered into a purchase agreement for an equity line of credit (the “2020 ELOC Agreement”) with Lincoln Park which provides that, upon the terms and subject to the conditions and limitations set forth therein, the Company may sell to Lincoln Park up to $4.0 million of shares of common stock from time to time over the 12-month term of the 2020 ELOC Agreement, and upon execution of the 2020 ELOC Agreement the Company issued an additional 19,289 shares of common stock to Lincoln Park as commitment shares in accordance with the closing conditions within the 2020 ELOC Agreement. Concurrently with entering into the 2020 ELOC Agreement, the Company also entered into a registration rights agreement with Lincoln Park (the “2020 ELOC Registration Rights Agreement”) pursuant to which the Company agreed to register the sale of the shares of common stock that have been and may be issued to Lincoln Park under the 2020 ELOC Agreement pursuant to the Company’s existing shelf registration statement on Form S-3 or a new registration statement. In May 2020, the Company reached the maximum allowable shares to be issued under the registration statement of 579,260 shares (inclusive of the 19,289 commitment shares) as defined in Section 2(f)(i) of the 2020 ELOC Agreement and therefore cannot issue additional shares under the 2020 ELOC Agreement. Through May 2020, the Company sold 559,971 shares of common stock to Lincoln Park (exclusive of the 19,289 commitment shares) under the 2020 ELOC Agreement for gross proceeds of approximately $2.3 million.</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8, 2021, the Company entered into an underwriting agreement (the “Underwriting Agreement”) with Roth Capital Partners, LLC (the “Underwriter” or "Roth"), to issue and sell 6,765,463 shares of common stock of the Company, pre-funded warrants to purchase 926,844 shares of common stock and warrants to purchase 7,692,307 shares of common stock at an exercise price per share of $6.50 in an underwritten public offering (the “Public Offering”) pursuant to a Registration Statement on Form S-1 (File No. 333-250945) and a related prospectus, in each case filed with the Securities and Exchange Commission (the “SEC”). The offering price to the public was $6.50 per share of common stock and accompanying warrant, representing a public offering price of $6.4999 per share of common stock and $0.0001 per related warrant. In addition, the Company granted the Underwriter an option to purchase, for a period of 45 days, up to an additional 1,153,846 shares of the Company’s common stock and/or warrants to purchase up to an additional 1,153,846 shares of the Company’s common stock.</w:t>
      </w:r>
    </w:p>
    <w:p>
      <w:pPr>
        <w:spacing w:after="0" w:line="182" w:lineRule="exact"/>
        <w:rPr>
          <w:sz w:val="20"/>
          <w:szCs w:val="20"/>
          <w:color w:val="auto"/>
        </w:rPr>
      </w:pPr>
    </w:p>
    <w:p>
      <w:pPr>
        <w:spacing w:after="0"/>
        <w:rPr>
          <w:sz w:val="20"/>
          <w:szCs w:val="20"/>
          <w:color w:val="auto"/>
        </w:rPr>
      </w:pPr>
      <w:r>
        <w:rPr>
          <w:rFonts w:ascii="Arial" w:cs="Arial" w:eastAsia="Arial" w:hAnsi="Arial"/>
          <w:sz w:val="16"/>
          <w:szCs w:val="16"/>
          <w:color w:val="auto"/>
        </w:rPr>
        <w:t>On January 8, 2021, the Underwriter exercised its over-allotment option, in part, for warrants to purchase 754,035 shares of the Company’s common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Further on February 1, 2021, the Underwriter again exercised its over-allotment option to purchase 374,035 shares of common stock.</w:t>
      </w:r>
    </w:p>
    <w:p>
      <w:pPr>
        <w:spacing w:after="0" w:line="208"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On January 12, 2021, the Company closed the Public Offering. The aggregate gross proceeds to the Company from the Public Offering, including over-allotment, totaled approximately $52.4 million, before deducting underwriting discounts and commissions and offering expenses payable by the Company.</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on the Nasdaq Capital Market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On January 7, 2021, the Company’s common stock was approved for listing on The Nasdaq Capital Market. The Company’s common stock began trading on The Nasdaq Capital Market on January 8, 2021 under the ticker symbol “KMPH”.</w:t>
      </w:r>
    </w:p>
    <w:p>
      <w:pPr>
        <w:sectPr>
          <w:pgSz w:w="11900" w:h="16838" w:orient="portrait"/>
          <w:cols w:equalWidth="0" w:num="1">
            <w:col w:w="11240"/>
          </w:cols>
          <w:pgMar w:left="320" w:top="125" w:right="339" w:bottom="0" w:gutter="0" w:footer="0" w:header="0"/>
        </w:sectPr>
      </w:pPr>
    </w:p>
    <w:bookmarkStart w:id="9" w:name="page10"/>
    <w:bookmarkEnd w:id="9"/>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118745</wp:posOffset>
            </wp:positionV>
            <wp:extent cx="713295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The preparation of unaudited condensed financial statements in conformity with U.S. GAAP requires the Company to make estimates and assumptions that affect the amounts reported in the unaudited condensed financial statements and accompanying notes. Actual results could differ from those estimates.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an ongoing basis, the Company evaluates its estimates and assumptions, including those related to revenue recognition, the useful lives of property and equipment, the recoverability of long-lived assets, the incremental borrowing rate for leases, and assumptions used for purposes of determining stock-based compensation, income taxes, and the fair value of the derivative and warrant liability, among others. The Company bases its estimates on historical experience and on various other assumptions that it believes to be reasonable, the results of which form the basis for making judgments about the carrying value of assets and liabilities.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 xml:space="preserve">The Company commenced recognizing revenue in accordance with the provisions of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starting January 1, 2018.</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Arrangements with Multiple-Performance Obligations</w:t>
      </w:r>
    </w:p>
    <w:p>
      <w:pPr>
        <w:spacing w:after="0" w:line="227"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From time to time, the Company enters into arrangements for research and development, manufacturing and/or commercialization services. Such arrangements may require the Company to deliver various rights, services, including intellectual property rights/licenses, research and development services, and/or commercialization services. The underlying terms of these arrangements generally provide for consideration to the Company in the form of nonrefundable upfront license fees, development and commercial performance milestone payments, royalty payments, consulting fees and/or profit sharing.</w:t>
      </w:r>
    </w:p>
    <w:p>
      <w:pPr>
        <w:spacing w:after="0" w:line="15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arrangements involving more than one performance obligation, each required performance obligation is evaluated to determine whether it qualifies as a distinct performance obligation based on whether (i) the customer can benefit from the good or service either on its own or together with other resources that are readily available and (ii) the good or service is separately identifiable from other promises in the contract. The consideration under the arrangement is then allocated to each separate distinct performance obligation based on its respective relative stand-alone selling price. The estimated selling price of each deliverable reflects the Company’s best estimate of what the selling price would be if the deliverable was regularly sold by the Company on a stand-alone basis or using an adjusted market assessment approach if selling price on a stand-alone basis is not available.</w:t>
      </w:r>
    </w:p>
    <w:p>
      <w:pPr>
        <w:spacing w:after="0" w:line="176"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consideration allocated to each distinct performance obligation is recognized as revenue when control of the related goods or services is transferred. Consideration associated with at-risk substantive performance milestones is recognized as revenue when it is probable that a significant reversal of the cumulative revenue recognized will not occur. Should there be royalties, the Company utilizes the sales and usage-based royalty exception in arrangements that resulted from the license of intellectual property, recognizing revenues generated from royalties or profit sharing as the underlying sales occur.</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Licensing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Company enters into licensing agreements with licensees that fall under the scope of ASC 606.</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terms of the Company’s licensing agreements typically include one or more of the following: (i) upfront fees; (ii) milestone payments related to the achievement of development, regulatory, or commercial goals; and (iii) royalties on net sales of licensed products. Each of these payments may result in licensing revenues.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As part of the accounting for these agreements, the Company must develop estimates and assumptions that require judgment to determine the underlying stand-alone selling price for each performance obligation which determines how the transaction price is allocated among the performance obligations. Generally, the estimation of the stand-alone selling price may include such estimates as, independent evidence of market price, forecasted revenues or costs, development timelines, discount rates, and probability of regulatory success. The Company evaluates each performance obligation to determine if they can be satisfied at a point in time or over time, and it measures the services delivered to the licensee which are periodically reviewed based on the progress of the related program. The effect of any change made to an estimated input component and, therefore revenue or expense recognized, would be recorded as a change in estimate. In addition, variable consideration (e.g., milestone payments) must be evaluated to determine if it is constrained and, therefore, excluded from the transaction price.</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i w:val="1"/>
          <w:iCs w:val="1"/>
          <w:color w:val="auto"/>
        </w:rPr>
        <w:t xml:space="preserve">Up-front Fees: </w:t>
      </w:r>
      <w:r>
        <w:rPr>
          <w:rFonts w:ascii="Arial" w:cs="Arial" w:eastAsia="Arial" w:hAnsi="Arial"/>
          <w:sz w:val="16"/>
          <w:szCs w:val="16"/>
          <w:color w:val="auto"/>
        </w:rPr>
        <w:t>If a license to the Company’s intellectual property is determined to be distinct from the other performance obligations identified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arrangement, the Company recognizes revenues from the transaction price allocated to the license when the license is transferred to the licensee and the licensee is able to use and benefit from the license. For licenses that are bundled with other promises, the Company utilizes judgment to assess the nature of the combined performance obligation to determine whether the combined performance obligation is satisfied over time or at a point in time.</w:t>
      </w:r>
    </w:p>
    <w:p>
      <w:pPr>
        <w:spacing w:after="0" w:line="15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Milestone Payments: </w:t>
      </w:r>
      <w:r>
        <w:rPr>
          <w:rFonts w:ascii="Arial" w:cs="Arial" w:eastAsia="Arial" w:hAnsi="Arial"/>
          <w:sz w:val="17"/>
          <w:szCs w:val="17"/>
          <w:color w:val="auto"/>
        </w:rPr>
        <w:t>At the inception of each arrangement that includes milestone payments (variable consideration), the Company evaluates whether the</w:t>
      </w:r>
      <w:r>
        <w:rPr>
          <w:rFonts w:ascii="Arial" w:cs="Arial" w:eastAsia="Arial" w:hAnsi="Arial"/>
          <w:sz w:val="17"/>
          <w:szCs w:val="17"/>
          <w:i w:val="1"/>
          <w:iCs w:val="1"/>
          <w:color w:val="auto"/>
        </w:rPr>
        <w:t xml:space="preserve"> </w:t>
      </w:r>
      <w:r>
        <w:rPr>
          <w:rFonts w:ascii="Arial" w:cs="Arial" w:eastAsia="Arial" w:hAnsi="Arial"/>
          <w:sz w:val="17"/>
          <w:szCs w:val="17"/>
          <w:color w:val="auto"/>
        </w:rPr>
        <w:t>milestones are considered probable of being reached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Company’s or the licensee’s control, such as non-operational developmental and regulatory approvals, are generally not considered probable of being achieved until those approvals are received. At the end of each reporting period, the Company re-evaluates the probability of achievement of milestones that are within its or the licensee’s control, such as operational developmental milestones and any related constraint, and if necessary, adjusts its estimate of the overall transaction price. Any such adjustments are recorded on a cumulative catch-up basis, which would affect collaboration revenues and earnings in the period of adjustment. Revisions to the Company’s estimate of the transaction price may also result in negative licensing revenues and earnings in the period of adjustment.</w:t>
      </w:r>
    </w:p>
    <w:p>
      <w:pPr>
        <w:sectPr>
          <w:pgSz w:w="11900" w:h="16838" w:orient="portrait"/>
          <w:cols w:equalWidth="0" w:num="1">
            <w:col w:w="11240"/>
          </w:cols>
          <w:pgMar w:left="320" w:top="125" w:right="339" w:bottom="466" w:gutter="0" w:footer="0" w:header="0"/>
        </w:sectPr>
      </w:pP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118745</wp:posOffset>
            </wp:positionV>
            <wp:extent cx="7132955"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466"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KP415 License Agreement</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September 2019, the Company entered into a Collaboration and License Agreement (the “KP415 License Agreement”) with Commave Therapeutics SA, an affiliate of Gurnet Point Capital (“Commave”). Under the KP415 License Agreement, the Company granted to Commave an exclusive, worldwide license to develop, manufacture and commercialize the Company’s product candidates containing serdexmethylphenidate (“SDX”) and d-methylphenidate (“d-MPH”), including AZSTARYS, KP484, and, at the option of Commave, KP879, KP922 or any other product candidate developed by the Company containing SDX and developed to treat ADHD or any other central nervous system disorder (the “Additional Product Candidates” and, collectively with AZSTARYS and KP484, the “Licensed Product Candidates”). Pursuant to the KP415 License Agreement, Commave (i) paid the Company an upfront payment of $10.0 million; (ii) agreed to pay milestone payments of up to $63.0 million upon the occurrence of specified regulatory milestones related to AZSTARYS and KP484; (iii) agreed to pay additional payments of up to $420.0 million upon the achievement of specified U.S. sales milestones; and (iv) has agreed to pay the Company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8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May 2020, the FDA accepted the Company’s NDA for AZSTARYS. Per the KP415 License Agreement, the Company received a regulatory milestone payment of $5.0 million following the FDA’s acceptance of the AZSTARYS NDA. In addition, the Company is entitled to payments from Commave of up to $420.0 million in the aggregate, conditioned upon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Commave also agreed to be responsible for and reimburse the Company for all of the development, commercialization and regulatory expenses incurred on the licensed products, subject to certain limitations as set forth in the KP415 License Agreement. As part of this agreement the Company is obligated to perform consulting services on behalf of Commave related to the licensed products. For these consulting services, Commave has agreed to pay the Company a set rate per hour on any consulting services performed on behalf of Commave for the benefit of the licensed products.</w:t>
      </w:r>
    </w:p>
    <w:p>
      <w:pPr>
        <w:spacing w:after="0" w:line="17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the Company otherwise retains all responsibility for the conduct of all regulatory activities required to obtain new drug application approval of AZSTARYS and KP484; provided that Commave shall be the sponsor of any clinical trials conducted by the Company on behalf of Commave.</w:t>
      </w:r>
    </w:p>
    <w:p>
      <w:pPr>
        <w:spacing w:after="0" w:line="185" w:lineRule="exact"/>
        <w:rPr>
          <w:sz w:val="20"/>
          <w:szCs w:val="20"/>
          <w:color w:val="auto"/>
        </w:rPr>
      </w:pPr>
    </w:p>
    <w:p>
      <w:pPr>
        <w:jc w:val="both"/>
        <w:ind w:right="20"/>
        <w:spacing w:after="0" w:line="262" w:lineRule="auto"/>
        <w:rPr>
          <w:sz w:val="20"/>
          <w:szCs w:val="20"/>
          <w:color w:val="auto"/>
        </w:rPr>
      </w:pPr>
      <w:r>
        <w:rPr>
          <w:rFonts w:ascii="Arial" w:cs="Arial" w:eastAsia="Arial" w:hAnsi="Arial"/>
          <w:sz w:val="18"/>
          <w:szCs w:val="18"/>
          <w:color w:val="auto"/>
        </w:rPr>
        <w:t>In accordance with the terms of the Company’s March 20, 2012 Termination Agreement with Aquestive Therapeutics (formerly known as MonoSol Rx, LLC), Aquestive Therapeutics has the right to receive an amount equal to 10% of any royalty or milestone payments made to the Company related to AZSTARYS, KP484, KP879 or KP1077 under the KP415 License Agreement.</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KP415 License Agreement is within the scope of ASC 606, as the transaction represents a contract with a customer where the participants function in a customer / vendor relationship and are not exposed equally to the risks and rewards of the activities contemplated under the KP415 License Agreement. Using the concepts of ASC 606, the Company identified the grant of the exclusive, worldwide license and the performance of consulting services, which includes the reimbursement of out-of-pocket third-party research and development costs, as its only two performance obligations at inception. The Company further determined that the transaction price, at inception, under the agreement was $10.0 million upfront payment plus the fair value of the Development Costs (as defined in the KP415 License Agreement) which was allocated among the performance obligations based on their respective related stand-alone selling price.</w:t>
      </w:r>
    </w:p>
    <w:p>
      <w:pPr>
        <w:spacing w:after="0" w:line="19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consideration allocated to the grant of the exclusive, worldwide license was $10.0 million, which reflects the standalone selling price. The Company utilized the adjusted market assessment approach to determine this standalone selling price which included analyzing prospective offers received from various entities throughout our licensing negotiation process as well as the consideration paid to other competitors in the market for a similar type transaction. The Company determined that the intellectual property licensed under the KP415 License Agreement represented functional intellectual property and it has significant standalone functionality and therefore should be recognized at a point in time as opposed to over time. The revenue related to the grant of the exclusive, worldwide license was recognized at a point in time at the inception of the KP415 License Agreement.</w:t>
      </w:r>
    </w:p>
    <w:p>
      <w:pPr>
        <w:spacing w:after="0" w:line="1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consideration allocated to the performance of consulting services, which includes the reimbursement of out-of-pocket third-party research and development costs, was the fair value of the Development Costs (as defined in the KP415 License Agreement), which reflects the standalone selling price. The Company utilized a blended approach which took into consideration the adjusted market assessment approach and the expected cost plus a margin approach to determine this standalone selling price. This blended approach utilized the adjusted market approach and expected cost plus margin approach to value the performance of consulting services which included analyzing hourly rates of vendors in the a market who perform similar services to those of the Company to develop a range and then analyzing the average cost per hour of our internal resources and applying a margin which placed the value in the median of the previously identified range. For the reimbursement of out-of-pocket third-party research and development costs the Company utilized the expected cost plus a margin approach, which included estimating the actual out-of-pocket cost the Company expects to pay to third-parties for research and development costs and applying a margin, if necessary. The Company determined that no margin was necessary of these out-of-pocket third-party research and development costs as these are purely pass-through costs and the margin for managing these third-party activities is included within the value of the performance of consulting services. The Company determined that the performance of consulting services, including reimbursement of out-of-pocket third-party research and development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out-of-pocket third-party research and development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discussed above, the combination of the standalone selling price of these consulting services and certain out-of-pocket third-party research and development costs for AZSTARYS was the fair value of the Development Costs at inception. These Development Costs effectively created a cap on certain consulting services and out-of-pocket third-party research and development costs identified in the initial product development plan for AZSTARYS which was anticipated at the inception date of the KP415 License Agreement. As of June 30, 2021, the Company has recognized all of the consulting services and out-of-pocket third-party research and development costs under this cap.</w:t>
      </w:r>
    </w:p>
    <w:p>
      <w:pPr>
        <w:sectPr>
          <w:pgSz w:w="11900" w:h="16838" w:orient="portrait"/>
          <w:cols w:equalWidth="0" w:num="1">
            <w:col w:w="11240"/>
          </w:cols>
          <w:pgMar w:left="320" w:top="125" w:right="339" w:bottom="0" w:gutter="0" w:footer="0" w:header="0"/>
        </w:sectPr>
      </w:pPr>
    </w:p>
    <w:bookmarkStart w:id="12" w:name="page13"/>
    <w:bookmarkEnd w:id="12"/>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97155</wp:posOffset>
            </wp:positionV>
            <wp:extent cx="7132955"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13" w:name="page14"/>
    <w:bookmarkEnd w:id="13"/>
    <w:p>
      <w:pPr>
        <w:jc w:val="both"/>
        <w:spacing w:after="0" w:line="286" w:lineRule="auto"/>
        <w:rPr>
          <w:sz w:val="20"/>
          <w:szCs w:val="20"/>
          <w:color w:val="auto"/>
        </w:rPr>
      </w:pPr>
      <w:r>
        <w:rPr>
          <w:rFonts w:ascii="Arial" w:cs="Arial" w:eastAsia="Arial" w:hAnsi="Arial"/>
          <w:sz w:val="16"/>
          <w:szCs w:val="16"/>
          <w:color w:val="auto"/>
        </w:rPr>
        <w:t>Under the KP415 License Agreement, Commave was granted an exclusive right to first negotiation whereby upon completion of a Phase 1 proof-of-concept study, the Company and Commave may negotiate the economic terms under which certain Additional Products may be included as a Product (both as defined in the KP415 License Agreement) under the KP415 License Agreement (the “Additional Product Option”). In addition to the Additional Product Option, Commave was also granted a right of first refusal (“ROFR”) to acquire, license and/or commercialize any of the Additional Product Candidates should they choose not to exercise the Additional Product Option. Should Commave choose to exercise the Additional Product Option on any Additional Product Candidates, Commave and the Company shall negotiate in good faith regarding the economic terms of such Additional Product Candidate. Further, should Commave exercise the ROFR on any Additional Product Candidate, the economic terms of the agreement shall be the same as those offered to the third-party. Under ASC 606 an option to acquire additional goods or services gives rise to a performance obligation if the option provides a material right to the customer. The Company concluded that the above described Additional Product Option and ROFR do not constitute material rights to the customer as Commave would acquire the goods or services at a to be negotiated price, which the Company expects to approximate fair value and therefore Commave would not receive a material discount on these goods or services compared to market rates.</w:t>
      </w:r>
    </w:p>
    <w:p>
      <w:pPr>
        <w:spacing w:after="0" w:line="16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 is entitled to additional payments from Commave conditioned upon the achievement of specified regulatory milestones related to AZSTARYS and KP484 and the achievement of certain U.S. sales milestones, which are dependent upon, among other things, the timing of approval for a new drug application for AZSTARYS and its final approved label, if any. Further, Commave will pay the Company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The Company concluded that these regulatory milestones, sales milestones and royalty payments each contain a significant uncertainty associated with a future event. As such, these milestone and royalty payments are constrained at contract inception and are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and royalty payments are constrained by considering both the likelihood and magnitude of the potential revenue reversal.</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example, in May 2020, the FDA accepted the Company’s NDA for AZSTARYS. Per the KP415 License Agreement, the Company received a regulatory milestone payment of $5.0 million following the FDA’s acceptance of the AZSTARYS NDA. Since the FDA accepted the Company’s NDA for AZSTARYS the constraint was removed and revenue recognized. The associated revenue was allocated among the two performance obligations identified at contract inception. Since both performance obligations were satisfied as of the end of the second quarter of 2020 the full $5.0 million payment was recognized as revenue during the second quarter of 2020.</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April 8, 2021, the Company entered into Amendment No. 1 to the KP415 Amendment (the "KP415 Amendment"). Pursuant to the KP415 Amendment, the Company and Commave agreed to modify the compensation terms of the KP415 License Agreement. Pursuant to the KP415 Amendment, Commave paid the Company $10.0 million in connection with the entry into the KP415 Amendment as a result of the regulatory approval of AZSTARYS in the United States which occurred on March 2, 2021. Commave also paid the Company $10.0 million following the receipt of the scheduling determination of the compound SDX by the U.S. Drug Enforcement Agency (the "DEA"), which occurred on May 7, 2020. SDX is the prodrug component of AZSTARYS. In addition, the KP415 Amendment increases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the Company quarterly, tiered royalty payments ranging from a percentage in the high single digits to the mid-twenties of Net Sales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for the applicable product.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Commave and the Company also agreed to modify Commave’s right of first refusal such that the Company’s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Per the KP415 Amendment, the Company earned a regulatory milestone payment of $10.0 million following the FDA’s approval of the AZSTARYS NDA, in March 2021, as well as $10.0 million following the DEA's scheduling of SDX in May 2021. Since the FDA approved the NDA for AZSTARYS and the DEA scheduled SDX the constraints were removed and revenue recognized. The associated revenue was allocated among the two performance obligations identified at contract inception. Since both performance obligations were satisfied as of the end of the first quarter of 2021 the full $10.0 million for each milestone was recognized as revenue during the first quarter and second quarter of 2021, respectively. In accordance with ASC 340-40, </w:t>
      </w:r>
      <w:r>
        <w:rPr>
          <w:rFonts w:ascii="Arial" w:cs="Arial" w:eastAsia="Arial" w:hAnsi="Arial"/>
          <w:sz w:val="18"/>
          <w:szCs w:val="18"/>
          <w:i w:val="1"/>
          <w:iCs w:val="1"/>
          <w:color w:val="auto"/>
        </w:rPr>
        <w:t>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Customers</w:t>
      </w:r>
      <w:r>
        <w:rPr>
          <w:rFonts w:ascii="Arial" w:cs="Arial" w:eastAsia="Arial" w:hAnsi="Arial"/>
          <w:sz w:val="18"/>
          <w:szCs w:val="18"/>
          <w:color w:val="auto"/>
        </w:rPr>
        <w:t>, the Company recognized $1.0 million of royalty costs due to payment to Aquestive related to the regulatory milestones earned and recorded it in</w:t>
      </w:r>
      <w:r>
        <w:rPr>
          <w:rFonts w:ascii="Arial" w:cs="Arial" w:eastAsia="Arial" w:hAnsi="Arial"/>
          <w:sz w:val="18"/>
          <w:szCs w:val="18"/>
          <w:i w:val="1"/>
          <w:iCs w:val="1"/>
          <w:color w:val="auto"/>
        </w:rPr>
        <w:t xml:space="preserve"> </w:t>
      </w:r>
      <w:r>
        <w:rPr>
          <w:rFonts w:ascii="Arial" w:cs="Arial" w:eastAsia="Arial" w:hAnsi="Arial"/>
          <w:sz w:val="18"/>
          <w:szCs w:val="18"/>
          <w:color w:val="auto"/>
        </w:rPr>
        <w:t>the item titled royalty and direct contract acquisition costs in the unaudited condensed statements of operations for first and second quarter of 2021, respectively.</w:t>
      </w:r>
    </w:p>
    <w:p>
      <w:pPr>
        <w:spacing w:after="0" w:line="189"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three months ended June 30, 2021 and 2020, the Company recognized revenue under the KP415 License Agreement of $10.0 million and $5.6 million, respectively. For the six months ended June 30, 2021 and 2020, the Company recognized revenue under the KP415 License Agreement of $20.0 million and $7.3 million, respectively. There was no deferred revenue related to this agreement as of June 30, 2021 or December 31, 2020.</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9" w:right="3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APADAZ License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October 2018, the Company entered into a Collaboration and License Agreement (the “APADAZ License Agreement”) with KVK Tech, Inc. (“KVK”) pursuant to which we have granted an exclusive license to KVK to conduct regulatory activities for, manufacture and commercialize APADAZ in the United States.</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Pursuant to the APADAZ License Agreement, KVK agreed to pay the Company certain payments and cost reimbursements of an estimated $3.4 million, which includes a payment of $2.0 million within 10 days of the achievement of a specified milestone related to the initial formulary adoption of APADAZ (the “Initial Adoption Milestone”). In addition, KVK has agreed to make additional payments to the Company upon the achievement of specified sales milestones of up to $53.0 million in the aggregate. Further, the Company and KVK will share the quarterly net profits of APADAZ by KVK in the United States at specified tiered percentages, ranging from the Company receiving 30% to 50% of net profits, based on the amount of net sales on a rolling four quarter basis. The Company is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8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The Company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if the other party encounters bankruptcy or insolvency or (iii) if the Initial Adoption Milestone is not achieved. Upon termination, all licenses and other rights granted by the Company to KVK pursuant to the APADAZ License Agreement would revert to the Company.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Consulting Arrangements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enters into consulting arrangements with third-parties that fall under the scope of ASC 606. These arrangements may require the Company to deliver various rights, services, including research and development services, regulatory services and/or commercialization support services. The underlying terms of these arrangements generally provide for consideration to the Company in the form of consulting fees and reimbursements of out-of-pocket third-party research and development, regulatory and commercial costs.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Corium Consulting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July 2020, the Company entered into a consultation services arrangement (the “Corium Consulting Agreement”) with Corium, Inc. (“Corium”) under which Corium engaged the Company to guide the product development and regulatory activities for certain current and potential future products in Corium’s portfolio, as well as continue supporting preparation for the potential commercial launch of AZSTARYS (together, “Corium Consulting Services”). Corium is a portfolio company of Gurnet Point Capital and is responsible for leading all commercialization activities for AZSTARYS under the KP415 License Agreement, as discussed above.</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Under the Corium Consulting Agreement, the Company is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the Company for all development, commercialization and regulatory expenses incurred as part of the performance of the Corium Consulting Services.</w:t>
      </w:r>
    </w:p>
    <w:p>
      <w:pPr>
        <w:spacing w:after="0" w:line="18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Corium Consulting Agreement is within the scope of ASC 606, as the transaction represents a contract with a customer where the participants function in a customer / vendor relationship and are not exposed equally to the risks and rewards of the activities contemplated under the Corium Consulting Agreement. Using the concepts of ASC 606, the Company identified the performance of consulting services, which includes the reimbursement to the Company of third-party pass-through costs, as its only performance obligation at inception. The Company further determined that the transaction price, at inception, under the agreement was $13.6 million which is the fair value of the consulting services, including the reimbursement of third-party pass-through costs. The Company concluded that the regulatory milestone contains a significant uncertainty associated with a future event. As such, this milestone is constrained at contract inception and is not included in the transaction price as the Company could not conclude that it is probable a significant reversal in the amount of cumulative revenue recognized will not occur surrounding these milestone payments. At the end of each reporting period, the Company updates its assessment of whether the milestone is constrained by considering both the likelihood and magnitude of the potential revenue reversal.</w:t>
      </w:r>
    </w:p>
    <w:p>
      <w:pPr>
        <w:spacing w:after="0" w:line="170"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The Company determined that the performance of consulting services, including reimbursement of third-party pass-through costs, is a performance obligation that is satisfied over time as the services are performed and the reimbursable costs are paid. As such, the revenue related to the performance obligation will be recognized as the consulting services are performed and the services associated with the reimbursable third-party pass-through costs are incurred and paid by the Company, in accordance with the practical expedient allowed under ASC 606 regarding an entity’s right to consideration from a customer in an amount that corresponds directly to the value to the customer of the entity’s performance completed to date. As of June 30, 2021, the Company has recognized approximately 60% of the consulting services and third-party pass-through costs under the Corium Consulting Agreement.</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the three and six months ended June 30, 2021, the Company recognized revenue under the Corium Consulting Agreement of $1.6 million and $3.2 million, respectively. There was no revenue recognized for the three or six months ended June 30, 2020 related to the Corium Consulting Agreement. As of June 30, 2021, the Company had deferred revenue related to this agreement of $0.2 million. As of December 31, 2020, the Company had deferred revenue related to this agreement or $0.1 million.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Consulting Arrangements</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For the three months ended June 30, 2021 and 2020, the Company recognized revenue under other consulting arrangements of $0.3 million and $1.3 million, respectively. For the six months ended June 30, 2021 and 2020, the Company recognized revenue under other consulting arrangements of $0.8 million and $1.7 million, respectively. There was no deferred revenue from other consulting arrangements as of June 30, 2021 or December 31, 2020.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and Other Receivables</w:t>
      </w:r>
    </w:p>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Accounts and other receivables consists of receivables under the KP415 License Agreement and Corium Consulting Agreement, as well as receivables related to other consulting arrangements, income tax receivables and other receivables due to the Company. Receivables under the KP415 License Agreement and Corium Consulting Agreement are recorded for amounts due to the Company related to reimbursable third-party costs and performance of consulting services. These receivables, as well as the receivables related to other consulting arrangements, are evaluated to determine if any reserve or allowance should be established at each reporting date. As of June 30, 2021, the Company had receivables related to the Corium Consulting Agreement in the amount of $1.1 million and other consulting arrangements in the amount of and $0.6 million . As of December 31, 2020, the Company had receivables related to the Corium Consulting Agreement of $2.1 million, other consulting arrangements of $0.4 million and no receivables related to the KP415 License Agreement. As of June 30, 2021 and December 31, 2020, no reserve or allowance for doubtful accounts has been established.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Standards—Adopted</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From time to time, the Financial Accounting Standards Board (the “FASB”) or other standard-setting bodies issue accounting standards that are adopted by the Company as of the specified effective date.</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June 2016, the FASB issued ASU 2016-13, </w:t>
      </w:r>
      <w:r>
        <w:rPr>
          <w:rFonts w:ascii="Arial" w:cs="Arial" w:eastAsia="Arial" w:hAnsi="Arial"/>
          <w:sz w:val="18"/>
          <w:szCs w:val="18"/>
          <w:i w:val="1"/>
          <w:iCs w:val="1"/>
          <w:color w:val="auto"/>
        </w:rPr>
        <w:t>Financial Instruments</w:t>
      </w:r>
      <w:r>
        <w:rPr>
          <w:rFonts w:ascii="Arial" w:cs="Arial" w:eastAsia="Arial" w:hAnsi="Arial"/>
          <w:sz w:val="18"/>
          <w:szCs w:val="18"/>
          <w:color w:val="auto"/>
        </w:rPr>
        <w:t>—</w:t>
      </w:r>
      <w:r>
        <w:rPr>
          <w:rFonts w:ascii="Arial" w:cs="Arial" w:eastAsia="Arial" w:hAnsi="Arial"/>
          <w:sz w:val="18"/>
          <w:szCs w:val="18"/>
          <w:i w:val="1"/>
          <w:iCs w:val="1"/>
          <w:color w:val="auto"/>
        </w:rPr>
        <w:t>Credit Losses (Topic 326)</w:t>
      </w:r>
      <w:r>
        <w:rPr>
          <w:rFonts w:ascii="Arial" w:cs="Arial" w:eastAsia="Arial" w:hAnsi="Arial"/>
          <w:sz w:val="18"/>
          <w:szCs w:val="18"/>
          <w:color w:val="auto"/>
        </w:rPr>
        <w:t>—</w:t>
      </w:r>
      <w:r>
        <w:rPr>
          <w:rFonts w:ascii="Arial" w:cs="Arial" w:eastAsia="Arial" w:hAnsi="Arial"/>
          <w:sz w:val="18"/>
          <w:szCs w:val="18"/>
          <w:i w:val="1"/>
          <w:iCs w:val="1"/>
          <w:color w:val="auto"/>
        </w:rPr>
        <w:t>Measurement of Credit Losses on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Instruments </w:t>
      </w:r>
      <w:r>
        <w:rPr>
          <w:rFonts w:ascii="Arial" w:cs="Arial" w:eastAsia="Arial" w:hAnsi="Arial"/>
          <w:sz w:val="18"/>
          <w:szCs w:val="18"/>
          <w:color w:val="auto"/>
        </w:rPr>
        <w:t>(“ASU 2016-13”), which replaces the incurred loss impairment methodology with a methodology that reflects expected credit losses and</w:t>
      </w:r>
      <w:r>
        <w:rPr>
          <w:rFonts w:ascii="Arial" w:cs="Arial" w:eastAsia="Arial" w:hAnsi="Arial"/>
          <w:sz w:val="18"/>
          <w:szCs w:val="18"/>
          <w:i w:val="1"/>
          <w:iCs w:val="1"/>
          <w:color w:val="auto"/>
        </w:rPr>
        <w:t xml:space="preserve"> </w:t>
      </w:r>
      <w:r>
        <w:rPr>
          <w:rFonts w:ascii="Arial" w:cs="Arial" w:eastAsia="Arial" w:hAnsi="Arial"/>
          <w:sz w:val="18"/>
          <w:szCs w:val="18"/>
          <w:color w:val="auto"/>
        </w:rPr>
        <w:t>requires consideration of a broader range of reasonable and supportable information to inform credit loss estimates. This update applies to all entities holding financial assets and net investment in leases that are not accounted for at fair value through net income. The amendments affect loans, debt securities, trade receivables, net investments in leases, off-balance-sheet credit exposures, reinsurance receivables, and any other financial assets not excluded from the scope that have the contractual right to receive cash. This guidance is effective for financial statements issued for fiscal years beginning after December 15, 2019, and interim periods within those fiscal years. The adoption of ASU 2016-13 did not have a material impact on the Company’s financial statements and disclosures.</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w:t>
      </w:r>
      <w:r>
        <w:rPr>
          <w:rFonts w:ascii="Arial" w:cs="Arial" w:eastAsia="Arial" w:hAnsi="Arial"/>
          <w:sz w:val="17"/>
          <w:szCs w:val="17"/>
          <w:i w:val="1"/>
          <w:iCs w:val="1"/>
          <w:color w:val="auto"/>
        </w:rPr>
        <w:t>Disclosure Framework</w:t>
      </w:r>
      <w:r>
        <w:rPr>
          <w:rFonts w:ascii="Arial" w:cs="Arial" w:eastAsia="Arial" w:hAnsi="Arial"/>
          <w:sz w:val="17"/>
          <w:szCs w:val="17"/>
          <w:color w:val="auto"/>
        </w:rPr>
        <w:t>—</w:t>
      </w:r>
      <w:r>
        <w:rPr>
          <w:rFonts w:ascii="Arial" w:cs="Arial" w:eastAsia="Arial" w:hAnsi="Arial"/>
          <w:sz w:val="17"/>
          <w:szCs w:val="17"/>
          <w:i w:val="1"/>
          <w:iCs w:val="1"/>
          <w:color w:val="auto"/>
        </w:rPr>
        <w:t>Changes to the Disclosure Requirements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Fair Value Measurement </w:t>
      </w:r>
      <w:r>
        <w:rPr>
          <w:rFonts w:ascii="Arial" w:cs="Arial" w:eastAsia="Arial" w:hAnsi="Arial"/>
          <w:sz w:val="17"/>
          <w:szCs w:val="17"/>
          <w:color w:val="auto"/>
        </w:rPr>
        <w:t>(“ASU 2018-13”), which modifies the disclosure requirements on fair value measurements in Topic 820, Fair Value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Measurement, based on the concepts in the FASB Concepts Statement, </w:t>
      </w:r>
      <w:r>
        <w:rPr>
          <w:rFonts w:ascii="Arial" w:cs="Arial" w:eastAsia="Arial" w:hAnsi="Arial"/>
          <w:sz w:val="17"/>
          <w:szCs w:val="17"/>
          <w:i w:val="1"/>
          <w:iCs w:val="1"/>
          <w:color w:val="auto"/>
        </w:rPr>
        <w:t>Conceptual Framework for Financial Reporting</w:t>
      </w:r>
      <w:r>
        <w:rPr>
          <w:rFonts w:ascii="Arial" w:cs="Arial" w:eastAsia="Arial" w:hAnsi="Arial"/>
          <w:sz w:val="17"/>
          <w:szCs w:val="17"/>
          <w:color w:val="auto"/>
        </w:rPr>
        <w:t>—</w:t>
      </w:r>
      <w:r>
        <w:rPr>
          <w:rFonts w:ascii="Arial" w:cs="Arial" w:eastAsia="Arial" w:hAnsi="Arial"/>
          <w:sz w:val="17"/>
          <w:szCs w:val="17"/>
          <w:i w:val="1"/>
          <w:iCs w:val="1"/>
          <w:color w:val="auto"/>
        </w:rPr>
        <w:t>Chapter 8: Notes to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Statements, </w:t>
      </w:r>
      <w:r>
        <w:rPr>
          <w:rFonts w:ascii="Arial" w:cs="Arial" w:eastAsia="Arial" w:hAnsi="Arial"/>
          <w:sz w:val="17"/>
          <w:szCs w:val="17"/>
          <w:color w:val="auto"/>
        </w:rPr>
        <w:t>which the FASB finalized on August 28, 2018, including the consideration of costs and benefits. This update applies to all entities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required, under existing U.S. GAAP, to make disclosures about recurring or nonrecurring fair value measurements. This guidance is effective for financial statements issued for fiscal years beginning after December 15, 2019, and interim periods within those fiscal years. The amendments on changes in unrealized gains and losses, the 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adoption of ASU 2018-13 did not have a material impact on the Company’s financial statements and disclosures.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Application of New or Revised Accounting Standards—Not Yet Adopted</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w:t>
      </w:r>
      <w:r>
        <w:rPr>
          <w:rFonts w:ascii="Arial" w:cs="Arial" w:eastAsia="Arial" w:hAnsi="Arial"/>
          <w:sz w:val="17"/>
          <w:szCs w:val="17"/>
          <w:color w:val="auto"/>
        </w:rPr>
        <w:t>—</w:t>
      </w:r>
      <w:r>
        <w:rPr>
          <w:rFonts w:ascii="Arial" w:cs="Arial" w:eastAsia="Arial" w:hAnsi="Arial"/>
          <w:sz w:val="17"/>
          <w:szCs w:val="17"/>
          <w:i w:val="1"/>
          <w:iCs w:val="1"/>
          <w:color w:val="auto"/>
        </w:rPr>
        <w:t>Debt with Conversion and Other Options (Subtopic 470-20) 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w:t>
      </w:r>
      <w:r>
        <w:rPr>
          <w:rFonts w:ascii="Arial" w:cs="Arial" w:eastAsia="Arial" w:hAnsi="Arial"/>
          <w:sz w:val="17"/>
          <w:szCs w:val="17"/>
          <w:color w:val="auto"/>
        </w:rPr>
        <w:t>’</w:t>
      </w:r>
      <w:r>
        <w:rPr>
          <w:rFonts w:ascii="Arial" w:cs="Arial" w:eastAsia="Arial" w:hAnsi="Arial"/>
          <w:sz w:val="17"/>
          <w:szCs w:val="17"/>
          <w:i w:val="1"/>
          <w:iCs w:val="1"/>
          <w:color w:val="auto"/>
        </w:rPr>
        <w:t>s Own Equity (Subtopic 815-40); Accounting for Convertible Instruments and Contracts in an Entity</w:t>
      </w:r>
      <w:r>
        <w:rPr>
          <w:rFonts w:ascii="Arial" w:cs="Arial" w:eastAsia="Arial" w:hAnsi="Arial"/>
          <w:sz w:val="17"/>
          <w:szCs w:val="17"/>
          <w:color w:val="auto"/>
        </w:rPr>
        <w:t>’</w:t>
      </w:r>
      <w:r>
        <w:rPr>
          <w:rFonts w:ascii="Arial" w:cs="Arial" w:eastAsia="Arial" w:hAnsi="Arial"/>
          <w:sz w:val="17"/>
          <w:szCs w:val="17"/>
          <w:i w:val="1"/>
          <w:iCs w:val="1"/>
          <w:color w:val="auto"/>
        </w:rPr>
        <w:t xml:space="preserve">s Own Equity </w:t>
      </w:r>
      <w:r>
        <w:rPr>
          <w:rFonts w:ascii="Arial" w:cs="Arial" w:eastAsia="Arial" w:hAnsi="Arial"/>
          <w:sz w:val="17"/>
          <w:szCs w:val="17"/>
          <w:color w:val="auto"/>
        </w:rPr>
        <w:t>(“ASU 2020-06”), which addresses issues identified as a result of the complexities associated with applying U.S. GAAP for certain financial instruments with characteristics of liabilities and equity. This update addresses, among other things, the number of accounting models for convertible debt instruments and convertible preferred stock, targeted improvements to the disclosures for convertible instruments and earnings-per-share (“EPS”) guidance and amendments to the guidance for the derivatives scope exception for contracts in an entity’s own equity, as well as the related EPS guidance. This update applies to all entities that issue convertible instruments and/or contracts in an entity’s own equity. This guidance is effective for financial statements issued for fiscal years beginning after December 15, 2021, and interim periods within those fiscal years. Early adoption is permitted, but no earlier than fiscal years beginning after December 15, 2020, including interim periods within those fiscal years. FASB specified that an entity should adopt the guidance as of the beginning of its annual fiscal year. The Company is currently evaluating the impact the adoption of ASU 2020-06 could have on the Company’s financial statements and disclosures.</w:t>
      </w:r>
    </w:p>
    <w:p>
      <w:pPr>
        <w:spacing w:after="0" w:line="17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In May 2021, the FASB issued ASU 2021-04, </w:t>
      </w:r>
      <w:r>
        <w:rPr>
          <w:rFonts w:ascii="Arial" w:cs="Arial" w:eastAsia="Arial" w:hAnsi="Arial"/>
          <w:sz w:val="16"/>
          <w:szCs w:val="16"/>
          <w:i w:val="1"/>
          <w:iCs w:val="1"/>
          <w:color w:val="auto"/>
        </w:rPr>
        <w:t>Earnings Per Share (Topic 260), Debt— Modifications and Extinguishments (Subtopic 470-50),</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Compensation—Stock Compensation (Topic 718), and Derivatives and Hedging— Contracts in Entity’s Own Equity (Subtopic 815-40); Issuer’s Accounting for Certain Modifications or Exchanges of Freestanding Equity-Classified Written Call Options, a consensus of the FASB Emerging Issues Task Force </w:t>
      </w:r>
      <w:r>
        <w:rPr>
          <w:rFonts w:ascii="Arial" w:cs="Arial" w:eastAsia="Arial" w:hAnsi="Arial"/>
          <w:sz w:val="16"/>
          <w:szCs w:val="16"/>
          <w:color w:val="auto"/>
        </w:rPr>
        <w:t>(“ASU 2021-04”), which aims to clarify and reduce diversity in issuer's accounting for modifications or exchanges of freestanding equity-classified</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call options that remain equity classified after modification or exchange. This update applies to all entities that issue freestanding written call options that are classified in equity. This guidance is effective for financial statements issued for fiscal years beginning after December 15, 2021, and interim periods within those fiscal years. Early adoption is permitted for all entities, including adoption in an interim period. If an entity elects to early adopt the amendments in an interim period, the guidance should be applied as of the beginning of the fiscal year that includes that interim period. The Company is currently evaluating the impact the adoption of ASU 2021-04 could have on the Company’s financial statements and disclosures.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Debt Obligations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2021, the Company had no convertible notes outstanding. As of December 31, 2020, the Company had convertible notes outstanding in the aggregate principal amount of $68.2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Deerfield Facility Agreement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2014, the Company entered into a $60 million multi-tranche credit facility (the “Deerfield Facility Agreement”) with Deerfield Private Design Fund III, LP (“Deerfield”). At the time the Company entered into the Deerfield Facility Agreement, the Company borrowed the first tranche, which consisted of a term loan of $15 million (the “Term Note”) and a senior secured loan of $10 million (the “Deerfield Convertible Note”). Deerfield was able to convert any portion of the outstanding principal and any accrued but unpaid interest on the Deerfield Convertible Note into shares of the Company’s common stock at an initial conversion price of $5.85 per share (the “Deerfield Note Put Option”). After giving effect to the Reverse Stock Split effected in December 2020, the conversion price became $93.60.</w:t>
      </w:r>
    </w:p>
    <w:p>
      <w:pPr>
        <w:spacing w:after="0" w:line="19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The Company originally had to repay one-third of the outstanding principal amount of the Deerfield Convertible Note on the fourth and fifth anniversaries of the Deerfield Facility Agreement ( June 2018 and June 2019). In June 2018, Deerfield agreed to convert the $3,333,333 of the principal amount then due, plus $168,288 of accrued interest, into 37,410 shares of our common stock (as discussed below in the section entitled “Facility Agreement Waiver and Fifth Amendment to Senior Secured Convertible Note”). In September 2019, the Company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(as discussed below in the section entitled “2021 Note Exchange Effected in September 2019”). In December 2019, the Company entered into another amendment with Deerfield in order to (i) defer the Loan payments due pursuant to the Deerfield Facility Agreement until March 31, 2021 and (ii) allow for the entries of additional debt and debt holders under the Deerfield Facility Agreement (as discussed below in the section entitled “2021 Note Exchange Effected in December 2019”). The Company was also obligated to repay principal of the Deerfield Convertible Note in the amount of $6,980,824 plus any capitalized interest to date on March 31, 2021. Prepayment of the outstanding balance was not allowed without written consent of Deerfield.</w:t>
      </w:r>
    </w:p>
    <w:p>
      <w:pPr>
        <w:spacing w:after="0" w:line="18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Pursuant to the Deerfield Facility Agreement, the Company issued to Deerfield a warrant to purchase 14,423,076 shares of Series D Preferred at an initial exercise price of $0.78 per share, which is exercisable until June 2, 2024 (the “Deerfield Warrant”). Upon completion of the Company’s initial public offering, the Deerfield Warrant automatically converted into a warrant to purchase 1,923,077 shares of the Company’s common stock at an exercise price of $5.85 per share. After giving effect to the Reverse Stock Split effected in December 2020, the shares issuable upon conversion of the warrant became 120,192 shares of common stock, and the exercise price of the Deerfield Warrant became $93.60 per share, which in January 2021 and June 2021 was further adjusted to $46.25 and $38.34 per share, respectively, in connection with the Company entering into the January 2021 and June 2021 Inducement Transactions (as defined in Note F) each of which triggered the anti-dilution provisions of the Deerfield Warrant. This warrant qualifies as a participating security under ASC Topic 260, Earnings per Share, and is treated as such in the net loss per share calculation (Note I). If a Major Transaction occurs (as defined in the Deerfield Facility Agreement) Deerfield may require the Company to redeem the Deerfield Warrant for a cash amount equal to the Black-Scholes value of the portion of the Deerfield Warrant to be redeemed (the “Warrant Put Option”).</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recorded the fair value of the shares of Series D Preferred to debt issuance costs on the date of issuance. The Company also recorded the fair value of the Deerfield Warrant and the embedded Warrant Put Option to debt discount on the date of issuance. The debt issuance costs and debt discount were amortized over the term of the related debt and the expense was recorded as interest expense related to amortization of debt issuance costs and discount in the unaudited condensed statements of operations. In the first quarter of 2021, the debt was extinguished, through a series of debt payments and a conversion of debt principal and interest to Series B-2 Preferred Stock, as a result of the debt extinguishment the associated discount and debt issuance costs were written off and recorded as a loss on extinguishment.</w:t>
      </w:r>
    </w:p>
    <w:p>
      <w:pPr>
        <w:spacing w:after="0" w:line="17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Pursuant to the Deerfield Facility Agreement, the Company was not able to enter into specified transactions, including a debt financing in the aggregate value of $750,000 or more, other than permitted indebtedness under the Deerfield Facility Agreement, a merger, an asset sale or any other change of control transaction or any joint venture, partnership or other profit-sharing arrangement, without the prior approval of the Required Lenders (as defined in the Deerfield Facility Agreement). Additionally, if the Company were to enter into a major transaction, including a merger, consolidation, sale of substantially all of its assets or other change of control transaction, Deerfield would have had the ability to demand that prior to consummation of such transaction the Company repay all outstanding principal and accrued interest of any notes issued under the Deerfield Facility Agreement. Under each warrant issued pursuant to the Deerfield Facility Agreement, Deerfield has the right to demand that the Company redeem the warrant for a cash amount equal to the Black-Scholes value of a portion of the warrant upon the occurrence of specified events, including a merger, an asset sale or any other change of control transaction.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Issuance of </w:t>
      </w:r>
      <w:r>
        <w:rPr>
          <w:rFonts w:ascii="Arial" w:cs="Arial" w:eastAsia="Arial" w:hAnsi="Arial"/>
          <w:sz w:val="18"/>
          <w:szCs w:val="18"/>
          <w:b w:val="1"/>
          <w:bCs w:val="1"/>
          <w:color w:val="auto"/>
        </w:rPr>
        <w:t>5.50%</w:t>
      </w:r>
      <w:r>
        <w:rPr>
          <w:rFonts w:ascii="Arial" w:cs="Arial" w:eastAsia="Arial" w:hAnsi="Arial"/>
          <w:sz w:val="18"/>
          <w:szCs w:val="18"/>
          <w:b w:val="1"/>
          <w:bCs w:val="1"/>
          <w:i w:val="1"/>
          <w:iCs w:val="1"/>
          <w:color w:val="auto"/>
        </w:rPr>
        <w:t xml:space="preserve"> Senior Convertible Notes and Third Amendment to Senior Secured Convertible Note and Warrant</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February 2016, the Company issued $86.3 million aggregate principal amount of its 5.50% Senior Convertible Notes due 2021 (the “2021 Notes”) to Cowen and RBC Capital Markets, LLC, as representatives of the several initial purchasers (the “Initial Purchasers”), who subsequently resold the 2021 Notes to qualified institutional buyers (the “Note Offering”) in reliance on the exemption from registration provided by Rule 144A under the Securities Act of 1933, as amended (the “Securities Act”).</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2021 Notes were issued pursuant to an indenture, dated as of February 9, 2016 (the “Indenture”), between the Company and U.S. Bank National Association, as trustee (the “Trustee”). Interest on the 2021 Notes was payable semi-annually in cash in arrears on February 1 and August 1 of each year, beginning on August 1, 2016, at a rate of 5.50% per year. The 2021 Notes had an original maturity of February 1, 2021 unless earlier converted or repurchased.</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net proceeds from the Note Offering were approximately $82.8 million, after deducting the Initial Purchasers’ discount and estimated offering expenses. Concurrent with the Note Offering, the Company used approximately $18.6 million of the net proceeds from the Note Offering to repay in full the Term Note, plus all accrued but unpaid interest, a make-whole interest payment and a prepayment premium on the Term Note.</w:t>
      </w:r>
    </w:p>
    <w:p>
      <w:pPr>
        <w:spacing w:after="0" w:line="166"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 2021 Notes were not redeemable prior to the maturity date, and no sinking fund was provided for the 2021 Notes. The 2021 Notes were convertible at an initial conversion rate of 58.4454 shares of the Company’s common stock per $1,000 principal amount of the 2021 Notes, subject to adjustment under the Indenture, which is equal to an initial conversion price of approximately $17.11 per share of common stock. After giving effect to the Reverse Stock Split effected in December 2020, the conversion rate of the 2021 Notes would have been approximately 3.6528 shares of the Company’s common stock per $1,000 principal amount of the 2021 Notes, which is equal to a conversion price of approximately $273.76 per share.</w:t>
      </w:r>
    </w:p>
    <w:p>
      <w:pPr>
        <w:spacing w:after="0" w:line="17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Company underwent a “fundamental change” (as defined in the Indenture), holders could have required that the Company repurchase for cash all or any portion of their 2021 Notes at a fundamental change repurchase price equal to 100% of the principal amount of the 2021 Notes to be repurchased, plus accrued and unpaid interest to, but excluding, the fundamental change repurchase date.</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Indenture included customary terms and covenants, including certain events of default after which the 2021 Notes may have become due and payable immediately.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described in more detail below, in multiple exchanges occurring in December 2019 and January 2020, all outstanding 2021 Notes were exchanged by the holders thereof for either shares of our common stock or senior secured convertible promissory notes issued under the terms of the Deerfield Facility Agreement.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December 2019</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December 2019, the Company entered into the December 2019 Exchange Agreement and Amendment to Facility Agreement, Senior Secured Convertible Notes and Warrants (the “December 2019 Exchange Agreement”) with the Deerfield Lenders and Delaware Street Capital Master Fund, L.P. (“DSC” and, collectively with the Deerfield Lenders, the “December 2019 Holders”). Under the December 2019 Exchange Agreement, the Company issued senior secured convertible promissory notes under the Deerfield Facility Agreement in the aggregate principal amount of $71,418,011 (the “December 2019 Notes”), in exchange for the cancellation of an aggregate of $71,418,011 principal amount and accrued interest of the Company’s 2021 Notes. Upon entering into the December 2019 Exchange Agreement, the Company agreed to pay the December 2019 Holders, in the aggregate, an interest payment of $745,011 which represents 50% of the accrued interest, as of December 18, 2019, on the 2021 Notes owned by the December 2019 Holders. The remainder of such interest was included in the principal amount of the December 2019 Notes.</w:t>
      </w:r>
    </w:p>
    <w:p>
      <w:pPr>
        <w:spacing w:after="0" w:line="182"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December 2019 Notes bore interest at 6.75% per annum. The December 2019 Notes were convertible into shares of the Company’s common stock at an initial conversion price of $17.11 per share (which represented the conversion price of the 2021 Notes), subject to adjustment in accordance with the terms of the December 2019 Notes. After giving effect to the Reverse Stock Split effected in December 2020, the conversion price of the December 2019 Notes would have been $273.76 per share. The Company subsequently amended the December 2019 Notes to provide that such notes would have been convertible into shares of the Company’s common stock at a conversion price of $93.60 per share (which represented the conversion price of the Deerfield Convertible Note). The conversion price of the December 2019 Notes would have been adjusted downward if the Company issued or sold any shares of common stock, convertible securities, warrants or options at a sale or exercise price per share less than the greater of the December 2019 Notes’ conversion price or the closing sale price of the Company’s common stock on the last trading date immediately prior to such issuance, or, in the case of a firm commitment underwritten offering, on the date of execution of the underwriting agreement between the Company and the underwriters for such offering. However, if the Company effected an “at the market offering” as defined in Rule 415 of the Securities Act, of its common stock, the conversion price of the December 2019 Notes would have been adjusted downward pursuant to this anti-dilution adjustment only if such sales were made at a price less than $93.60 per share, provided that this anti-dilution adjustment would not have applied to any sales made under (x) the 2020 ELOC Agreement, (y) the ATM Agreement, or (z) the September 2019 Exchange Agreement (as amended). Notwithstanding anything to the contrary in the December 2019 Notes, the anti-dilution adjustment of such notes would not have resulted in the conversion price of the December 2019 Notes being less than $9.328 per share. The December 2019 Notes were convertible at any time at the option of the holders thereof, provided that a holder of a December 2019 Note was prohibited from converting such note into shares of the Company’s common stock if, as a result of such conversion, such holder (together with certain affiliates and “group” members) would have beneficially owned more than 4.985% of the total number of shares of common stock then issued and outstanding. However, the December 2019 Note issued to DSC, due to the fact DSC was a beneficial owner of more than 4.985% of the total number of shares of the Company’s common stock then issued and outstanding, had a beneficial ownership cap equal to 19.985% of the total number of shares of the Company’s common stock then issued and outstanding. Pursuant to the December 2019 Notes, the December 2019 Holders had the option to demand repayment of all outstanding principal, and any unpaid interest accrued thereon, in connection with a Major Transaction (as defined in the December 2019 Notes), which included, among others, any acquisition or other change of control of the Company; a liquidation, bankruptcy or other dissolution of the Company; or if at any time after March 31, 2021, shares of the Company’s common stock are not listed on an Eligible Market (as defined in the December 2019 Notes). The December 2019 Notes were subject to specified events of default, the occurrence of which would have entitled the December 2019 Holders to immediately demand repayment of all outstanding principal and accrued interest on the December 2019 Notes. Such events of default included, among others, failure to make any payment under the December 2019 Notes when due, failure to observe or perform any covenant under the Deerfield Facility Agreement (as defined below) or the other transaction documents related thereto (subject to a standard cure period), the failure of the Company to be able to pay debts as they come due, the commencement of bankruptcy or insolvency proceedings against the Company, a material judgement levied against the Company and a material default by the Company under the Deerfield Warrant, the December 2019 Notes or the Deerfield Convertible Note.</w:t>
      </w:r>
    </w:p>
    <w:p>
      <w:pPr>
        <w:spacing w:after="0" w:line="18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December 2019 Exchange Agreement amended the Deerfield Facility Agreement in order to, among other things, (i) provide for the Deerfield Facility Agreement to govern the December 2019 Notes received by the December 2019 Holders pursuant to the December 2019 Exchange Agreement, (ii) extend the maturity of the Deerfield Convertible Note from February 14, 2020 and June 1, 2020, as applicable, to March 31, 2021, (iii) defer interest payments on the Deerfield Convertible Note until March 31, 2021 (which such interest shall accrue as “payment-in-kind” interest), (iv) designate DSC as a Lender under (and as defined in the Deerfield Facility Agreement), (v) name Deerfield as the “Collateral Agent” for all Lenders and (vi) modify the terms and conditions under which the Company may issue additional pari passu and subordinated indebtedness under the Deerfield Facility Agreement (subject to certain conditions specified in the Deerfield Facility Agreement).</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2019 Exchange Agreement also amended and restated the Deerfield Convertible Note to conform the definitions of “Eligible Market” and “Major Transactions” to the definition in the December 2019 Notes, to remove provisions that were only applicable prior to the Company’s initial public offering and to make certain other changes to conform to the December 2019 Notes. The conversion price for the Deerfield Convertible Note remained $93.60 per share, subject to adjustment on the same basis as the December 2019 Notes.</w:t>
      </w:r>
    </w:p>
    <w:p>
      <w:pPr>
        <w:spacing w:after="0" w:line="185"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December 2019 Exchange Agreement also amended the Deerfield Warrant to conform the definitions of “Eligible Market” and “Major Transaction” in the Deerfield Warrant with the definitions of such terms in the December 2019 Notes.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December 2019 Exchange Agreement contained customary representations, warranties and covenants made by the Company and the December 2019 Holders, including a covenant of the Company to, upon request, use commercially reasonable efforts to use its technology to discover a product based upon a compound that may be identified by the Deerfield Lenders in a manner that is reasonably acceptable to the Deerfield Lenders, or one of their affiliates, with the terms of such discovery plan, including the Company’s compensation thereunder, to be mutually agreed to by the parties.</w:t>
      </w:r>
    </w:p>
    <w:p>
      <w:pPr>
        <w:spacing w:after="0" w:line="15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 connection with entering into the December 2019 Exchange Agreement, on December 18, 2019, the Company amended and restated that certain Guaranty and Security Agreement, dated June 2, 2014, by and between the Company and the other parties thereto (the “GSA”) to, among other things,</w:t>
      </w:r>
    </w:p>
    <w:p>
      <w:pPr>
        <w:spacing w:after="0" w:line="1" w:lineRule="exact"/>
        <w:rPr>
          <w:sz w:val="20"/>
          <w:szCs w:val="20"/>
          <w:color w:val="auto"/>
        </w:rPr>
      </w:pPr>
    </w:p>
    <w:p>
      <w:pPr>
        <w:ind w:right="20" w:firstLine="7"/>
        <w:spacing w:after="0" w:line="258"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provide that all of the notes will be secured by the liens securing the indebtedness under the Deerfield Facility Agreement, and (ii) name Deerfield as the “Collateral Agent” under the GSA.</w:t>
      </w:r>
    </w:p>
    <w:p>
      <w:pPr>
        <w:sectPr>
          <w:pgSz w:w="11900" w:h="16838" w:orient="portrait"/>
          <w:cols w:equalWidth="0" w:num="1">
            <w:col w:w="11240"/>
          </w:cols>
          <w:pgMar w:left="320" w:top="125" w:right="339" w:bottom="1103"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103" w:gutter="0" w:footer="0" w:header="0"/>
          <w:type w:val="continuous"/>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connection with entering into the December 2019 Exchange Agreement, the Company also entered into an amendment (the “September 2019 Exchange Agreement Amendment”) to the September 2019 Exchange Agreement to, among other things, (i) amend and restate Annex I of the September 2019 Exchange Agreement to allow the Deerfield Lenders to effect optional exchanges of the December 2019 Notes and the Deerfield Convertible Note under the terms of the September 2019 Exchange Agreement; (ii) amend the common stock exchange price under the September 2019 Exchange Agreement to be a per share price equal to the greater of (x) $0.60, subject to adjustment to reflect stock splits and similar events, or (y) the average of the volume-weighted average prices of the Company’s common stock on each of the 15 trading days immediately preceding such exchange, (iii) provide that no more than 28,439,015 of shares of the Company’s common stock shall be issued pursuant to optional exchanges under the September 2019 Exchange Agreement (whether by common stock exchange or upon conversion of Series B-2 Shares (as defined in the September 2019 Exchange Agreement Amendment)), subject to adjustment to reflect stock splits and similar events and (iv) eliminate limitations regarding the timing and aggregate amount of principal which may be exchanged under the September 2019 Exchange Agreement. These changes in the September 2019 Exchange Agreement Amendment significantly modified the Optional Exchange Principal Amount, as such after giving effect to the September Exchange Agreement Amendment the Optional Exchange Principal Amount ceases to exist the new optional exchanges are referred to as the Deerfield Optional Conversion Feature. After giving effect to the Reverse Stock Split effected in December 2020, the exchange price of the Deerfield Optional Conversion Feature would have been $9.60 per share or the average of the volume-weighted average price of the common stock on the principal securities exchange or trading market on which the common stock is then trading on each of the 15 trading days immediately preceding such exchange and the shares of the Company’s common stock issued pursuant to the optional exchanges would have been 1,777,437 shares of common stock.</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connection with entering into the September 2019 Amendment, the Company filed an amendment to the Series B-2 Certificate of Designation (the “Series B-2 Certificate of Designation Amendment”) with the Secretary of State of the State Delaware. The Series B-2 Certificate of Designation Amendment provides that each share of the Company’s Series B-2 preferred stock is convertible into shares of the Company’s common stock at a per share price equal to the common stock exchange price under the September 2019 Exchange Agreement, which equals the greater of (i) $9.60 (subject to adjustment to reflect stock splits and similar events), or (ii) the average of the volume-weighted average prices of the Company’s common stock on each of the 15 trading days immediately preceding such exchange.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2021, the Deerfield Lenders have converted $17.1 million of principal under the December 2019 Notes into all 1,777,437 shares of common stock available under the Deerfield Optional Conversion Feature.</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determined the changes to the Deerfield Convertible Note met the definition of a troubled debt restructuring under ASC 470-60, </w:t>
      </w:r>
      <w:r>
        <w:rPr>
          <w:rFonts w:ascii="Arial" w:cs="Arial" w:eastAsia="Arial" w:hAnsi="Arial"/>
          <w:sz w:val="18"/>
          <w:szCs w:val="18"/>
          <w:i w:val="1"/>
          <w:iCs w:val="1"/>
          <w:color w:val="auto"/>
        </w:rPr>
        <w:t>Troubled</w:t>
      </w:r>
      <w:r>
        <w:rPr>
          <w:rFonts w:ascii="Arial" w:cs="Arial" w:eastAsia="Arial" w:hAnsi="Arial"/>
          <w:sz w:val="18"/>
          <w:szCs w:val="18"/>
          <w:color w:val="auto"/>
        </w:rPr>
        <w:t xml:space="preserve"> </w:t>
      </w:r>
      <w:r>
        <w:rPr>
          <w:rFonts w:ascii="Arial" w:cs="Arial" w:eastAsia="Arial" w:hAnsi="Arial"/>
          <w:sz w:val="18"/>
          <w:szCs w:val="18"/>
          <w:i w:val="1"/>
          <w:iCs w:val="1"/>
          <w:color w:val="auto"/>
        </w:rPr>
        <w:t>Debt Restructurings by Debtors</w:t>
      </w:r>
      <w:r>
        <w:rPr>
          <w:rFonts w:ascii="Arial" w:cs="Arial" w:eastAsia="Arial" w:hAnsi="Arial"/>
          <w:sz w:val="18"/>
          <w:szCs w:val="18"/>
          <w:color w:val="auto"/>
        </w:rPr>
        <w:t>, as the Company was experiencing financial difficulties and Deerfield granted a concession. The amendments to the terms</w:t>
      </w:r>
      <w:r>
        <w:rPr>
          <w:rFonts w:ascii="Arial" w:cs="Arial" w:eastAsia="Arial" w:hAnsi="Arial"/>
          <w:sz w:val="18"/>
          <w:szCs w:val="18"/>
          <w:i w:val="1"/>
          <w:iCs w:val="1"/>
          <w:color w:val="auto"/>
        </w:rPr>
        <w:t xml:space="preserve"> </w:t>
      </w:r>
      <w:r>
        <w:rPr>
          <w:rFonts w:ascii="Arial" w:cs="Arial" w:eastAsia="Arial" w:hAnsi="Arial"/>
          <w:sz w:val="18"/>
          <w:szCs w:val="18"/>
          <w:color w:val="auto"/>
        </w:rPr>
        <w:t>of the Deerfield Convertible Note resulted in no gain on restructuring because the total cash outflows required under the amended Deerfield Convertible Note exceeded the carrying value of the original Deerfield Convertible Note immediately prior to amendment. Prospectively, the Deerfield Convertible Note will continue to be carried net of the associated discount and debt issuance costs which will be amortized and recorded as interest expense using a modified effective interest rate based on the amendments.</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Notes, under the December 2019 Exchange Agreement, referred to after as the December 2019 Notes, were accounted for as a debt modification, prospectively, the December 2019 Notes will be carried net of the associated discount and debt issuance costs which will be amortized and recorded as interest expense using a modified effective interest rate based on the amendments.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Note Exchange Effected in January 2020</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January 2020, the Company entered into the January 2020 Exchange Agreement (the “January 2020 Exchange Agreement”) with M. Kingdon Offshore Master Fund, LP (“Kingdon”). Under the January 2020 Exchange Agreement, the Company issued a senior secured convertible note in the aggregate principal amount of $3,037,354 (the “January 2020 Note”) in exchange for the cancellation of an aggregate of $3,037,354 principal amount and accrued interest of the 2021 Note then owned by Kingdon. Upon entering into the January 2020 Exchange Agreement, the Company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entering into the January 2020 Exchange Agreement, the Company entered into an Amendment to Facility Agreement and December 2019 Notes and Consent (the “December 2019 Note Amendment”) with the December 2019 Holders that, among other things, (i) amended the December 2019 Notes to (a) reduce the Conversion Price (as defined in the December 2019 Notes) from $17.11 to $5.85 per share and (b) increased the Floor Price (as defined in the December 2019 Notes) from $0.38 to $0.583 per share, and (ii) amended the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After giving effect to the Reverse Stock Split effected in December 2020, the Conversion Price became $93.60 per share and the Floor Price became $9.328 per share.</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changes to the 2021 Note, under the January 2020 Exchange Agreement, referred to after as the January 2020 Note, were accounted for as a debt modification, prospectively, the January 2020 Note will be carried net of the associated discount and debt issuance costs which will be amortized and recorded as interest expense using a modified effective interest rate based on the amendments.</w:t>
      </w:r>
    </w:p>
    <w:p>
      <w:pPr>
        <w:sectPr>
          <w:pgSz w:w="11900" w:h="16838" w:orient="portrait"/>
          <w:cols w:equalWidth="0" w:num="1">
            <w:col w:w="11240"/>
          </w:cols>
          <w:pgMar w:left="320" w:top="125"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and Amendment to Facility Agreement, Notes and Investors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Rights Agreement</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December 2020, the Company entered into a December 2020 Exchange Agreement and Amendment to Facility Agreement, Notes and Investors’ Rights Agreement, as amended (the “December 2020 Exchange Agreement”) with the Deerfield Lenders, DSC and Kingdon (collectively, the “Facility Agreement Note Holders”). Under the December 2020 Exchange Agreement, the Company and the Facility Agreement Note Holders agreed that (a) the Company will make a cash pre-payment of a portion of principal amount of the Deerfield Convertible Note, the December 2019 Notes and the January 2020 Note (collectively, the “Facility Agreement Notes”) to the Facility Agreement Note Holders (the “Debt Payment”) equal to approximately $30.3 million, plus accrued interest if such payment is made on or after January 1, 2021, and (b) subject to the satisfaction or waiver of certain conditions specified in the December 2020 Exchange Agreement, including the making of the Debt Payment, issue shares of its Series B-2 Preferred Stock and warrants exercisable for shares of its common stock (the “Exchange Warrants”), in exchange for the cancellation of a portion of the principal amount of the Facility Agreement Notes owned by the Facility Agreement Note Holders in an aggregate amount equal to the Debt Payment, plus the Q4 PIK Interest Payment (as defined in the December 2020 Exchange Agreement) (such transaction, the “December 2020 Exchange”).</w:t>
      </w:r>
    </w:p>
    <w:p>
      <w:pPr>
        <w:spacing w:after="0" w:line="182"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The December 2020 Exchange Agreement amended the Facility Agreement Notes to provide that the failure of the Company’s common stock to remain listed on an eligible securities market will not constitute a “Major Transaction” unless such failure occurs after March 31, 2023.</w:t>
      </w:r>
    </w:p>
    <w:p>
      <w:pPr>
        <w:spacing w:after="0" w:line="148"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Subject to the satisfaction or waiver of certain conditions specified in the December 2020 Exchange Agreement, including the making of the Debt Payment and the consummation of the exchange, the December 2020 Exchange Agreement amended that certain Facility Agreement dated as of June 2, 2014, as amended (the “Facility Agreement”), by and among the Company and the Facility Agreement Note Holders in order to, among other things, (i) extend the maturity date of the Facility Agreement Notes to March 31, 2023, (ii) provide for cash payments of interest on the Loans (as defined in the Facility Agreement) for the periods following July 1, 2021, and (iii) provide for specified prepayment terms on the Loans.</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(the “IRA”), by and among the Company, Deerfield and the other parties signatory thereto in order to, among other things, add Deerfield Special Situations Fund, L.P. as a party thereto and to give effect to the issuance of the Exchange Warrants and the Company’s registration obligations under the December 2020 Exchange Agreement (as described in more detail below).</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Exchange Warrants issued pursuant to the December 2020 Exchange Agreement were exercisable for a number of shares of the Company’s common stock equal to 75% of the shares of common stock issuable upon conversion of the Series B-2 Preferred Stock issued in the Exchange (without regard for any beneficial ownership limitations included therein). The Exercise Warrants were subject to substantially the same terms and conditions as the warrants issued to the public in the public offering of the Company’s securities contemplated pursuant to a registration statement on Form S-1, file no. 333-250945 (the “Public Offering”), with an exercise price equal to the exercise price per share of the warrants issued in the Public Offering and provided that the Facility Agreement Note Holders will be limited from exercising such Exchange Warrants if, as a result of such exercise, such holders (together with certain affiliates and “group” members of such holders) would beneficially own more than 4.985% of the total number of shares of the Company’s common stock then issued and outstanding.</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anticipation of the Public Offering, and to meet the Nasdaq Listing Requirements, the Company agreed in December 2020 to restructure the December 2019 Notes and the January 2020 Note in the aggregate principal amount of $60.8 million and the Deerfield Note in the principal amount of $7.5 million (collectively the "the Facility Notes"). The total outstanding principal and accrued interest under the Facility Notes was $69.4 million as of December 31, 2020.</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Under the terms of the December 2020 Exchange Agreement, the Company, on January 12, 2021, in connection with the closing of the Public Offering:</w:t>
      </w:r>
    </w:p>
    <w:p>
      <w:pPr>
        <w:spacing w:after="0" w:line="246" w:lineRule="exact"/>
        <w:rPr>
          <w:sz w:val="20"/>
          <w:szCs w:val="20"/>
          <w:color w:val="auto"/>
        </w:rPr>
      </w:pPr>
    </w:p>
    <w:p>
      <w:pPr>
        <w:ind w:left="460" w:right="24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Exchanged $31.5 million of the outstanding principal and accrued interest on the Facility Notes for (i) 31,476.98412 shares of Series B-2 Preferred Stock, and (ii) Exchange Warrants exercisable for 3,632,019 shares of the Company's common stock, and</w:t>
      </w:r>
    </w:p>
    <w:p>
      <w:pPr>
        <w:spacing w:after="0" w:line="202" w:lineRule="exact"/>
        <w:rPr>
          <w:rFonts w:ascii="Arial" w:cs="Arial" w:eastAsia="Arial" w:hAnsi="Arial"/>
          <w:sz w:val="34"/>
          <w:szCs w:val="34"/>
          <w:color w:val="auto"/>
          <w:vertAlign w:val="subscript"/>
        </w:rPr>
      </w:pPr>
    </w:p>
    <w:p>
      <w:pPr>
        <w:ind w:left="460" w:right="520" w:hanging="224"/>
        <w:spacing w:after="0" w:line="181" w:lineRule="auto"/>
        <w:tabs>
          <w:tab w:leader="none" w:pos="460" w:val="left"/>
        </w:tabs>
        <w:numPr>
          <w:ilvl w:val="0"/>
          <w:numId w:val="7"/>
        </w:numPr>
        <w:rPr>
          <w:rFonts w:ascii="Arial" w:cs="Arial" w:eastAsia="Arial" w:hAnsi="Arial"/>
          <w:sz w:val="34"/>
          <w:szCs w:val="34"/>
          <w:color w:val="auto"/>
          <w:vertAlign w:val="subscript"/>
        </w:rPr>
      </w:pPr>
      <w:r>
        <w:rPr>
          <w:rFonts w:ascii="Arial" w:cs="Arial" w:eastAsia="Arial" w:hAnsi="Arial"/>
          <w:sz w:val="17"/>
          <w:szCs w:val="17"/>
          <w:color w:val="auto"/>
        </w:rPr>
        <w:t>Made a payment of $30.3 million (the "Debt Payment"), in partial repayment of the remaining outstanding principal and accrued interest of the Facility Notes.</w:t>
      </w:r>
    </w:p>
    <w:p>
      <w:pPr>
        <w:spacing w:after="0" w:line="20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was prepayable upon specified conditions, and</w:t>
      </w:r>
    </w:p>
    <w:p>
      <w:pPr>
        <w:spacing w:after="0" w:line="222" w:lineRule="exact"/>
        <w:rPr>
          <w:rFonts w:ascii="Arial" w:cs="Arial" w:eastAsia="Arial" w:hAnsi="Arial"/>
          <w:sz w:val="18"/>
          <w:szCs w:val="18"/>
          <w:color w:val="auto"/>
        </w:rPr>
      </w:pPr>
    </w:p>
    <w:p>
      <w:pPr>
        <w:ind w:left="460" w:right="80" w:hanging="224"/>
        <w:spacing w:after="0" w:line="181" w:lineRule="auto"/>
        <w:tabs>
          <w:tab w:leader="none" w:pos="460" w:val="left"/>
        </w:tabs>
        <w:numPr>
          <w:ilvl w:val="0"/>
          <w:numId w:val="8"/>
        </w:numPr>
        <w:rPr>
          <w:rFonts w:ascii="Arial" w:cs="Arial" w:eastAsia="Arial" w:hAnsi="Arial"/>
          <w:sz w:val="34"/>
          <w:szCs w:val="34"/>
          <w:color w:val="auto"/>
          <w:vertAlign w:val="subscript"/>
        </w:rPr>
      </w:pPr>
      <w:r>
        <w:rPr>
          <w:rFonts w:ascii="Arial" w:cs="Arial" w:eastAsia="Arial" w:hAnsi="Arial"/>
          <w:sz w:val="17"/>
          <w:szCs w:val="17"/>
          <w:color w:val="auto"/>
        </w:rPr>
        <w:t>Interest would accrue at the rate of 6.75% per annum, payable quarterly, would be added to principal until June 30, 2021, and then be payable in cash thereafter.</w:t>
      </w:r>
    </w:p>
    <w:p>
      <w:pPr>
        <w:spacing w:after="0" w:line="20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changes to the Facility Notes, under the December 2020 Exchange Agreement, were accounted for as a debt extinguishment as the cash flows immediately after the December 2020 Exchange Agreement were substantially different from the cash flows immediately prior to the December 2020 Exchange Agreement and while the Company was experiencing financial difficulties it was determined that the lender did not grant a concession. As such a loss of extinguishment related to the extinguishment of the old notes was recorded in the unaudited condensed statement of operations for the six months ended June 30, 2021 and additional debt issuance costs related the new notes were capitalized and amortized using the effective interest method through the Payoff of Facility Agreement Notes (discussed below).</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transactions contemplated under the December 2020 Exchange Agreement, including the obligation to pre-pay any portion of the Facility Agreement Notes or to complete the Exchange and the effectiveness of the amendments to the Facility Agreement, the Notes and the IRA, were subject to specified conditions of closing, including certain closing of the Public Offering, the filing of the Restated Series B-2 Certificate of Designation (as defined below) and the approval for listing of the Company’s common stock, including the shares issuable upon conversion of the Series B-2 Preferred Stock and exercise of the Exchange Warrants, on the Nasdaq Capital Market.</w:t>
      </w:r>
    </w:p>
    <w:p>
      <w:pPr>
        <w:spacing w:after="0" w:line="190"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As a condition to closing of the December 2020 Exchange Agreement, the Company filed an Amended and Restated Certificate of Designation of Preferences, Rights and Limitations of Series B-2 Convertible Preferred Stock (the “Restated Series B-2 Certificate of Designation”) with the Secretary of State of the State Delaware, setting forth the preferences, rights and limitations of the Series B-2 Preferred Stock.</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Each share of Series B-2 Preferred Stock had an aggregate stated value of $1,000 and was convertible into shares of the Company’s common stock at a per share price equal to the price per share to the public of the Company’s common stock in the Public Offering (subject to adjustment to reflect stock splits and similar events).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Series B-2 Preferred Stock was convertible at any time on or after the PDUFA Date (as defined in the Restated Series B-2 Certificate of Designation) at the option of the holders thereof; provided that the holders thereof will be prohibited from converting shares of Series B-2 Preferred Stock into shares of the Company’s common stock if, as a result of such conversion, such holders (together with certain affiliates and “group” members of such Holders) would beneficially own more than 4.985% of the total number of shares of the Company’s common stock then issued and outstanding. The Series B-2 Preferred Stock is not redeemable. In the event of the Company’s liquidation, dissolution or winding up or a change in control of the Company (each, a “Liquidation Event”), the holders of Series B-2 Preferred Stock will receive, prior to any distribution or payment on our common stock, an amount equal to the greater of</w:t>
      </w:r>
    </w:p>
    <w:p>
      <w:pPr>
        <w:spacing w:after="0" w:line="3" w:lineRule="exact"/>
        <w:rPr>
          <w:sz w:val="20"/>
          <w:szCs w:val="20"/>
          <w:color w:val="auto"/>
        </w:rPr>
      </w:pPr>
    </w:p>
    <w:p>
      <w:pPr>
        <w:jc w:val="both"/>
        <w:ind w:firstLine="7"/>
        <w:spacing w:after="0" w:line="266" w:lineRule="auto"/>
        <w:tabs>
          <w:tab w:leader="none" w:pos="214" w:val="left"/>
        </w:tabs>
        <w:numPr>
          <w:ilvl w:val="0"/>
          <w:numId w:val="9"/>
        </w:numPr>
        <w:rPr>
          <w:rFonts w:ascii="Arial" w:cs="Arial" w:eastAsia="Arial" w:hAnsi="Arial"/>
          <w:sz w:val="17"/>
          <w:szCs w:val="17"/>
          <w:color w:val="auto"/>
        </w:rPr>
      </w:pPr>
      <w:r>
        <w:rPr>
          <w:rFonts w:ascii="Arial" w:cs="Arial" w:eastAsia="Arial" w:hAnsi="Arial"/>
          <w:sz w:val="17"/>
          <w:szCs w:val="17"/>
          <w:color w:val="auto"/>
        </w:rPr>
        <w:t>$1,000 per share (in the case of a change in control, transaction consideration with such value), or (ii) the amount (in the case of a change in control, in the form of the transaction consideration) per share each such holder would have been entitled to receive if every share of Series B-2 Preferred Stock had been converted into common stock immediately prior to such Liquidation Event, in each case, plus any declared but unpaid dividends thereon. With respect to rights upon liquidation, the Series B-2 Preferred Stock ranks senior to the common stock, on parity with any Parity Securities (as defined in the Restated Series B-2 Certificate of Designation) and junior to existing and future indebtedness. Except as otherwise required by law (or with respect to approval of certain actions involving the Company’s organizational documents that adversely affect the holders of Series B-2 Preferred Stock and other specified matters regarding the rights, preferences and privileges of the Series B-2 Preferred Stock), the Series B-2 Preferred Stock does not have voting rights. The Series B-2 Preferred Stock is not subject to any price-based anti-dilution protections and does not provide for any accruing dividends, but provides that holders of Series B-2 Preferred Stock will participate in any dividends on the Company’s common stock on an as-converted basis (without giving effect to the limitation on conversion described above). The Restated Series B-2 Certificate of Designation also provides for partial liquidated damages in the event that the Company fails to timely convert shares of Series B-2 Preferred Stock into common stock in accordance with the Restated Series B-2 Certificate of Designation.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the Company entered into a payoff letter with the Facility Agreement Note Holders, pursuant to which the Company agreed to pay off and thereby terminate the Facility Agreement.</w:t>
      </w:r>
    </w:p>
    <w:p>
      <w:pPr>
        <w:spacing w:after="0" w:line="17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payoff letter, the Company paid a total of $8.0 million to the Facility Agreement Note Holders, representing the principal balance, accrued interest outstanding and a prepayment fee in repayment of the Company’s outstanding obligations under the Facility Agreement.</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payoff letter, all outstanding indebtedness and obligations of the Company owing to the Facility Agreement Note Holders under the Facility Agreement have been paid in full. The Facility Agreement and the notes thereunder, as well as the security interests in the assets of the Company securing the Facility Agreement and note obligations, have been terminated. The Facility Agreement Note Holders will retain the warrants previously issued to them by the Company.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 xml:space="preserve">The Company determined the payoff letter met the liability derecognition threshold under ASC 405-20, </w:t>
      </w:r>
      <w:r>
        <w:rPr>
          <w:rFonts w:ascii="Arial" w:cs="Arial" w:eastAsia="Arial" w:hAnsi="Arial"/>
          <w:sz w:val="18"/>
          <w:szCs w:val="18"/>
          <w:i w:val="1"/>
          <w:iCs w:val="1"/>
          <w:color w:val="auto"/>
        </w:rPr>
        <w:t>Liabilities - Extinguishment of Liabilities</w:t>
      </w:r>
      <w:r>
        <w:rPr>
          <w:rFonts w:ascii="Arial" w:cs="Arial" w:eastAsia="Arial" w:hAnsi="Arial"/>
          <w:sz w:val="18"/>
          <w:szCs w:val="18"/>
          <w:color w:val="auto"/>
        </w:rPr>
        <w:t>, as the Company repaid the debt (and has been relieved of the related obligation) without entering into new debt with the Facility Agreement Note Holders and there is no other continuing debt with the Facility Agreement Note Holders. The payoff letter resulted in a loss on extinguishment of debt which is recorded on the unaudited condensed statements of operations for the six months ended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PPP Loan</w:t>
      </w:r>
    </w:p>
    <w:p>
      <w:pPr>
        <w:spacing w:after="0" w:line="22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23, 2020, the Company received proceeds of $0.8 million from the PPP Loan under the PPP of the CARES Act, a portion of which may be forgiven, which the Company used to retain current employees, maintain payroll and make lease and utility payments. The PPP Loan matured on April 23, 2022 and bore annual interest at a rate of 1.0%. Payments of principal and interest on the PPP Loan were originally deferred for the first two months of the</w:t>
      </w:r>
    </w:p>
    <w:p>
      <w:pPr>
        <w:spacing w:after="0" w:line="2" w:lineRule="exact"/>
        <w:rPr>
          <w:sz w:val="20"/>
          <w:szCs w:val="20"/>
          <w:color w:val="auto"/>
        </w:rPr>
      </w:pPr>
    </w:p>
    <w:p>
      <w:pPr>
        <w:jc w:val="both"/>
        <w:ind w:firstLine="7"/>
        <w:spacing w:after="0" w:line="293" w:lineRule="auto"/>
        <w:tabs>
          <w:tab w:leader="none" w:pos="371" w:val="left"/>
        </w:tabs>
        <w:numPr>
          <w:ilvl w:val="0"/>
          <w:numId w:val="10"/>
        </w:numPr>
        <w:rPr>
          <w:rFonts w:ascii="Arial" w:cs="Arial" w:eastAsia="Arial" w:hAnsi="Arial"/>
          <w:sz w:val="16"/>
          <w:szCs w:val="16"/>
          <w:color w:val="auto"/>
        </w:rPr>
      </w:pPr>
      <w:r>
        <w:rPr>
          <w:rFonts w:ascii="Arial" w:cs="Arial" w:eastAsia="Arial" w:hAnsi="Arial"/>
          <w:sz w:val="16"/>
          <w:szCs w:val="16"/>
          <w:color w:val="auto"/>
        </w:rPr>
        <w:t>Loan term. The PPP Flexibility Act of 2020, which was signed in June 2020, extend that deferral to the first six months of the PPP loan term. Thereafter, the Company would have been required to pay the lender equal monthly payments of principal and interest. In June 2021, the Company received notice from the U.S. Small Business Administration that the principal and interest due under its PPP Loan had been forgiven in full. This gain on extinguishment is shown within other income (expense) on the condensed statements of operations for the three and six months ended June 30, 2021.</w:t>
      </w:r>
    </w:p>
    <w:p>
      <w:pPr>
        <w:sectPr>
          <w:pgSz w:w="11900" w:h="16838" w:orient="portrait"/>
          <w:cols w:equalWidth="0" w:num="1">
            <w:col w:w="11240"/>
          </w:cols>
          <w:pgMar w:left="320" w:top="125" w:right="339" w:bottom="1440" w:gutter="0" w:footer="0" w:header="0"/>
        </w:sectPr>
      </w:pP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27"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From time to time, the Company is involved in various legal proceedings arising in the normal course of business. For some matters, a liability is not probable, or the amount cannot be reasonably estimated and, therefore, an accrual has not been made. However, for such matters when it is probable that the Company has incurred a liability and can reasonably estimate the amount, the Company accrues and discloses such estimates. As of June 30, 2021 and December 31, 2020, no accruals have been made related to commitments and contingencies.</w:t>
      </w:r>
    </w:p>
    <w:p>
      <w:pPr>
        <w:spacing w:after="0" w:line="200" w:lineRule="exact"/>
        <w:rPr>
          <w:sz w:val="20"/>
          <w:szCs w:val="20"/>
          <w:color w:val="auto"/>
        </w:rPr>
      </w:pPr>
    </w:p>
    <w:p>
      <w:pPr>
        <w:spacing w:after="0" w:line="210" w:lineRule="exact"/>
        <w:rPr>
          <w:sz w:val="20"/>
          <w:szCs w:val="20"/>
          <w:color w:val="auto"/>
        </w:rPr>
      </w:pPr>
    </w:p>
    <w:p>
      <w:pPr>
        <w:ind w:left="460" w:hanging="453"/>
        <w:spacing w:after="0"/>
        <w:tabs>
          <w:tab w:leader="none" w:pos="4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Preferred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the Company had 10,000,000 shares of authorized, unallocated and unissued preferred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December 31, 2020, the Company had 10,000,000 shares of authorized preferred stock. The following shares of preferred stock were designated, issued and outstanding as of December 31, 2020:</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3960" w:type="dxa"/>
            <w:vAlign w:val="bottom"/>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Shares Authorized</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Shares Issued</w:t>
            </w:r>
          </w:p>
        </w:tc>
        <w:tc>
          <w:tcPr>
            <w:tcW w:w="160" w:type="dxa"/>
            <w:vAlign w:val="bottom"/>
          </w:tcPr>
          <w:p>
            <w:pPr>
              <w:spacing w:after="0"/>
              <w:rPr>
                <w:sz w:val="20"/>
                <w:szCs w:val="20"/>
                <w:color w:val="auto"/>
              </w:rPr>
            </w:pPr>
          </w:p>
        </w:tc>
        <w:tc>
          <w:tcPr>
            <w:tcW w:w="160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w w:val="90"/>
              </w:rPr>
              <w:t>Shares Outstanding</w:t>
            </w:r>
          </w:p>
        </w:tc>
      </w:tr>
      <w:tr>
        <w:trPr>
          <w:trHeight w:val="194"/>
        </w:trPr>
        <w:tc>
          <w:tcPr>
            <w:tcW w:w="39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Series A convertible preferred stock, $0.0001 par</w:t>
            </w:r>
          </w:p>
        </w:tc>
        <w:tc>
          <w:tcPr>
            <w:tcW w:w="15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9,578</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9,577</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r>
      <w:tr>
        <w:trPr>
          <w:trHeight w:val="201"/>
        </w:trPr>
        <w:tc>
          <w:tcPr>
            <w:tcW w:w="3960" w:type="dxa"/>
            <w:vAlign w:val="bottom"/>
          </w:tcPr>
          <w:p>
            <w:pPr>
              <w:spacing w:after="0" w:line="201" w:lineRule="exact"/>
              <w:rPr>
                <w:sz w:val="20"/>
                <w:szCs w:val="20"/>
                <w:color w:val="auto"/>
              </w:rPr>
            </w:pPr>
            <w:r>
              <w:rPr>
                <w:rFonts w:ascii="Arial" w:cs="Arial" w:eastAsia="Arial" w:hAnsi="Arial"/>
                <w:sz w:val="18"/>
                <w:szCs w:val="18"/>
                <w:color w:val="auto"/>
                <w:w w:val="96"/>
              </w:rPr>
              <w:t>Series B-1 convertible preferred stock, $0.0001 par</w:t>
            </w: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29"/>
        </w:trPr>
        <w:tc>
          <w:tcPr>
            <w:tcW w:w="3960" w:type="dxa"/>
            <w:vAlign w:val="bottom"/>
          </w:tcPr>
          <w:p>
            <w:pPr>
              <w:spacing w:after="0"/>
              <w:rPr>
                <w:sz w:val="20"/>
                <w:szCs w:val="20"/>
                <w:color w:val="auto"/>
              </w:rPr>
            </w:pPr>
            <w:r>
              <w:rPr>
                <w:rFonts w:ascii="Arial" w:cs="Arial" w:eastAsia="Arial" w:hAnsi="Arial"/>
                <w:sz w:val="18"/>
                <w:szCs w:val="18"/>
                <w:color w:val="auto"/>
              </w:rPr>
              <w:t>value</w:t>
            </w:r>
          </w:p>
        </w:tc>
        <w:tc>
          <w:tcPr>
            <w:tcW w:w="1540" w:type="dxa"/>
            <w:vAlign w:val="bottom"/>
          </w:tcPr>
          <w:p>
            <w:pPr>
              <w:jc w:val="right"/>
              <w:spacing w:after="0"/>
              <w:rPr>
                <w:sz w:val="20"/>
                <w:szCs w:val="20"/>
                <w:color w:val="auto"/>
              </w:rPr>
            </w:pPr>
            <w:r>
              <w:rPr>
                <w:rFonts w:ascii="Arial" w:cs="Arial" w:eastAsia="Arial" w:hAnsi="Arial"/>
                <w:sz w:val="18"/>
                <w:szCs w:val="18"/>
                <w:color w:val="auto"/>
              </w:rPr>
              <w:t>1,576</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1,576</w:t>
            </w:r>
          </w:p>
        </w:tc>
        <w:tc>
          <w:tcPr>
            <w:tcW w:w="160" w:type="dxa"/>
            <w:vAlign w:val="bottom"/>
          </w:tcPr>
          <w:p>
            <w:pPr>
              <w:spacing w:after="0"/>
              <w:rPr>
                <w:sz w:val="19"/>
                <w:szCs w:val="19"/>
                <w:color w:val="auto"/>
              </w:rPr>
            </w:pPr>
          </w:p>
        </w:tc>
        <w:tc>
          <w:tcPr>
            <w:tcW w:w="1600" w:type="dxa"/>
            <w:vAlign w:val="bottom"/>
          </w:tcPr>
          <w:p>
            <w:pPr>
              <w:ind w:left="1320"/>
              <w:spacing w:after="0"/>
              <w:rPr>
                <w:sz w:val="20"/>
                <w:szCs w:val="20"/>
                <w:color w:val="auto"/>
              </w:rPr>
            </w:pPr>
            <w:r>
              <w:rPr>
                <w:rFonts w:ascii="Arial" w:cs="Arial" w:eastAsia="Arial" w:hAnsi="Arial"/>
                <w:sz w:val="18"/>
                <w:szCs w:val="18"/>
                <w:color w:val="auto"/>
              </w:rPr>
              <w:t>—</w:t>
            </w:r>
          </w:p>
        </w:tc>
      </w:tr>
      <w:tr>
        <w:trPr>
          <w:trHeight w:val="201"/>
        </w:trPr>
        <w:tc>
          <w:tcPr>
            <w:tcW w:w="39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Series B-2 convertible preferred stock, $0.0001 par</w:t>
            </w: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229"/>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value</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c>
          <w:tcPr>
            <w:tcW w:w="1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60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w:t>
            </w:r>
          </w:p>
        </w:tc>
      </w:tr>
    </w:tbl>
    <w:p>
      <w:pPr>
        <w:spacing w:after="0" w:line="2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June 2021, the Company filed with the Secretary of State of the State of Delaware: (i) a Certificate of Elimination of Series A Convertible Preferred Stock, eliminating from the Company’s Certificate of Incorporation the 9,578 shares designated as Series A Convertible Preferred Stock; (ii) a Certificate of Elimination of Series B-1 Convertible Preferred Stock, eliminating from the Company’s Certificate of Incorporation the 1,576 shares designated as Series B-1 Convertible Preferred Stock; and (iii) a Certificate of Elimination of Series B-2 Convertible Preferred Stock, eliminating from the Company’s Certificate of Incorporation the 31,480 shares designated as Series B-2 Convertible Preferred Stock. As of June 30, 2021, no shares of preferred stock were designated, issued or outstanding.</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B-2 Preferred Stock</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December 2020 Exchange Agreement, on January 12, 2021, the Company issued to the Facility Note Holders an aggregate of 31,476.98412 shares of its Series B-2 Preferred Stock and warrants exercisable for an aggregate of 3,632,019 shares of the Company’s common stock (the “Exchange Warrants”).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Series B-2 Preferred Stock was convertible into an aggregate of 4,842,690 shares of the Company’s common stock upon issuance at a conversion price equal to $6.4999. No fractional shares of common stock will be issued in connection with the conversion of the Series B-2 Preferred Stock. Instead, for any such fractional share that would have otherwise been issued upon conversion of a share of Series B-2 Preferred Stock, the Company will round such fraction up to the next whole share.</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Amended and Restated Certificate of Designation of Preferences, Rights and Limitations of the Series B-2 Convertible Preferred Stock</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11, 2021, as a condition to closing of the transactions contemplated by the December 2020 Exchange Agreement, the Company filed an Amended and Restated Certificate of Designation of Preferences, Rights and Limitations of Series B-2 Convertible Preferred Stock (the “Series B-2 Certificate of Designation”) with the Secretary of State of the State Delaware, setting forth the preferences, rights and limitations of the Series B-2 Preferred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Immediately following, the closing of the Public Offering, pursuant to the terms of the December 2020 Exchange Agreement, the Company:</w:t>
      </w:r>
    </w:p>
    <w:p>
      <w:pPr>
        <w:spacing w:after="0" w:line="223" w:lineRule="exact"/>
        <w:rPr>
          <w:sz w:val="20"/>
          <w:szCs w:val="20"/>
          <w:color w:val="auto"/>
        </w:rPr>
      </w:pPr>
    </w:p>
    <w:p>
      <w:pPr>
        <w:ind w:left="460" w:hanging="224"/>
        <w:spacing w:after="0" w:line="27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Exchanged approximately $31.5 million (the "Exchange") of the outstanding principal and accrued interest on the Facility Notes for (i) the Series B-2 Preferred Stock and (ii) the Exchange Warrants;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made a payment of approximately $30.3 million (the “Debt Payment”) in partial repayment of the remaining outstanding principal and accrued interest on the Facility Notes.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Upon the closing of the Exchange and related Debt Payment, the amendments to the Facility Agreement, the Notes and the Investors’ Rights Agreement, dated as of February 19, 2015, by and among the Company, Deerfield and the other parties signatory thereto, contemplated by the December 2020 Exchange Agreement that were conditional upon, among other things, the closing of the Public Offering, the filing of the Series B-2 Certificate of Designation and/or the approval for listing of the Company’s common stock, including the shares issuable upon conversion of the Series B-2 Preferred Stock and exercise of the Exchange Warrants, on the Nasdaq Capital Market, became effective on January 12, 2021.</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all shares of Series B-2 Preferred Stock have been converted into 4,842,699 shares of common stock.</w:t>
      </w:r>
    </w:p>
    <w:p>
      <w:pPr>
        <w:sectPr>
          <w:pgSz w:w="11900" w:h="16838" w:orient="portrait"/>
          <w:cols w:equalWidth="0" w:num="1">
            <w:col w:w="11240"/>
          </w:cols>
          <w:pgMar w:left="320" w:top="125" w:right="339" w:bottom="1036"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036" w:gutter="0" w:footer="0" w:header="0"/>
          <w:type w:val="continuous"/>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 and Warrants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Issued, and Outstanding Common Shares</w:t>
      </w:r>
    </w:p>
    <w:p>
      <w:pPr>
        <w:spacing w:after="0" w:line="223" w:lineRule="exact"/>
        <w:rPr>
          <w:sz w:val="20"/>
          <w:szCs w:val="20"/>
          <w:color w:val="auto"/>
        </w:rPr>
      </w:pPr>
    </w:p>
    <w:p>
      <w:pPr>
        <w:spacing w:after="0" w:line="305" w:lineRule="auto"/>
        <w:rPr>
          <w:sz w:val="20"/>
          <w:szCs w:val="20"/>
          <w:color w:val="auto"/>
        </w:rPr>
      </w:pPr>
      <w:r>
        <w:rPr>
          <w:rFonts w:ascii="Arial" w:cs="Arial" w:eastAsia="Arial" w:hAnsi="Arial"/>
          <w:sz w:val="17"/>
          <w:szCs w:val="17"/>
          <w:color w:val="auto"/>
        </w:rPr>
        <w:t>As of June 30, 2021 and December 31, 2020, the Company had authorized shares of common stock of 250,000,000 shares. Of the authorized shares, 34,977,923 and 4,537,321 shares of common stock were issued and outstanding as of June 30, 2021 and December 31, 2020, respectively.</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and December 31, 2020, the Company had reserved authorized shares of common stock for future issuance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44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w w:val="99"/>
              </w:rPr>
              <w:t>June 30, 2021</w:t>
            </w:r>
          </w:p>
        </w:tc>
        <w:tc>
          <w:tcPr>
            <w:tcW w:w="100" w:type="dxa"/>
            <w:vAlign w:val="bottom"/>
          </w:tcPr>
          <w:p>
            <w:pPr>
              <w:spacing w:after="0"/>
              <w:rPr>
                <w:sz w:val="20"/>
                <w:szCs w:val="20"/>
                <w:color w:val="auto"/>
              </w:rPr>
            </w:pPr>
          </w:p>
        </w:tc>
        <w:tc>
          <w:tcPr>
            <w:tcW w:w="13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81,101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Conversion of January 2020 Note</w:t>
            </w:r>
          </w:p>
        </w:tc>
        <w:tc>
          <w:tcPr>
            <w:tcW w:w="1160" w:type="dxa"/>
            <w:vAlign w:val="bottom"/>
          </w:tcPr>
          <w:p>
            <w:pPr>
              <w:spacing w:after="0"/>
              <w:rPr>
                <w:sz w:val="18"/>
                <w:szCs w:val="18"/>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34,615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December 2019 Notes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625,747</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Outstanding awards under equity incentive plans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414,869</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355,785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Outstanding common stock warrants</w:t>
            </w:r>
          </w:p>
        </w:tc>
        <w:tc>
          <w:tcPr>
            <w:tcW w:w="14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4,584,889</w:t>
            </w: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151,442</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Possible future issuances under equity incentive plans</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5,069,317</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47,825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Possible future issuances under employee stock purchase plans</w:t>
            </w:r>
          </w:p>
        </w:tc>
        <w:tc>
          <w:tcPr>
            <w:tcW w:w="1440" w:type="dxa"/>
            <w:vAlign w:val="bottom"/>
            <w:tcBorders>
              <w:bottom w:val="single" w:sz="8" w:color="auto"/>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Total common shares reserved for future issuance</w:t>
            </w:r>
          </w:p>
        </w:tc>
        <w:tc>
          <w:tcPr>
            <w:tcW w:w="1440" w:type="dxa"/>
            <w:vAlign w:val="bottom"/>
            <w:gridSpan w:val="2"/>
          </w:tcPr>
          <w:p>
            <w:pPr>
              <w:jc w:val="right"/>
              <w:ind w:right="10"/>
              <w:spacing w:after="0"/>
              <w:rPr>
                <w:sz w:val="20"/>
                <w:szCs w:val="20"/>
                <w:color w:val="auto"/>
              </w:rPr>
            </w:pPr>
            <w:r>
              <w:rPr>
                <w:rFonts w:ascii="Arial" w:cs="Arial" w:eastAsia="Arial" w:hAnsi="Arial"/>
                <w:sz w:val="18"/>
                <w:szCs w:val="18"/>
                <w:color w:val="auto"/>
              </w:rPr>
              <w:t>11,569,075</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1,296,515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Common Stock Activity</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7160" w:type="dxa"/>
            <w:vAlign w:val="bottom"/>
            <w:gridSpan w:val="2"/>
          </w:tcPr>
          <w:p>
            <w:pPr>
              <w:spacing w:after="0"/>
              <w:rPr>
                <w:sz w:val="20"/>
                <w:szCs w:val="20"/>
                <w:color w:val="auto"/>
              </w:rPr>
            </w:pPr>
            <w:r>
              <w:rPr>
                <w:rFonts w:ascii="Arial" w:cs="Arial" w:eastAsia="Arial" w:hAnsi="Arial"/>
                <w:sz w:val="18"/>
                <w:szCs w:val="18"/>
                <w:color w:val="auto"/>
                <w:w w:val="94"/>
              </w:rPr>
              <w:t>The following table summarizes common stock activity for the six months ended June 30, 2021:</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80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w w:val="94"/>
              </w:rPr>
              <w:t>Shares of Common</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60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right"/>
              <w:ind w:right="740"/>
              <w:spacing w:after="0"/>
              <w:rPr>
                <w:sz w:val="20"/>
                <w:szCs w:val="20"/>
                <w:color w:val="auto"/>
              </w:rPr>
            </w:pPr>
            <w:r>
              <w:rPr>
                <w:rFonts w:ascii="Arial" w:cs="Arial" w:eastAsia="Arial" w:hAnsi="Arial"/>
                <w:sz w:val="18"/>
                <w:szCs w:val="18"/>
                <w:b w:val="1"/>
                <w:bCs w:val="1"/>
                <w:color w:val="auto"/>
              </w:rPr>
              <w:t>Stock</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December 31, 2020</w:t>
            </w:r>
          </w:p>
        </w:tc>
        <w:tc>
          <w:tcPr>
            <w:tcW w:w="116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4,537,321</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the Public Offering</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7,139,498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Common stock issued as a result of Series B-2 Preferred Stock conversions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4,842,699</w:t>
            </w:r>
          </w:p>
        </w:tc>
        <w:tc>
          <w:tcPr>
            <w:tcW w:w="8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11,951,038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9,600</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Balance as of March 31, 2021</w:t>
            </w:r>
          </w:p>
        </w:tc>
        <w:tc>
          <w:tcPr>
            <w:tcW w:w="11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28,480,156</w:t>
            </w:r>
          </w:p>
        </w:tc>
        <w:tc>
          <w:tcPr>
            <w:tcW w:w="80" w:type="dxa"/>
            <w:vAlign w:val="bottom"/>
            <w:tcBorders>
              <w:bottom w:val="single" w:sz="8" w:color="auto"/>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for cash paid in lieu on DTC fractional shares</w:t>
            </w:r>
          </w:p>
        </w:tc>
        <w:tc>
          <w:tcPr>
            <w:tcW w:w="1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6020" w:type="dxa"/>
            <w:vAlign w:val="bottom"/>
          </w:tcPr>
          <w:p>
            <w:pPr>
              <w:ind w:left="160"/>
              <w:spacing w:after="0"/>
              <w:rPr>
                <w:sz w:val="20"/>
                <w:szCs w:val="20"/>
                <w:color w:val="auto"/>
              </w:rPr>
            </w:pPr>
            <w:r>
              <w:rPr>
                <w:rFonts w:ascii="Arial" w:cs="Arial" w:eastAsia="Arial" w:hAnsi="Arial"/>
                <w:sz w:val="18"/>
                <w:szCs w:val="18"/>
                <w:color w:val="auto"/>
              </w:rPr>
              <w:t>Common stock issued as a result of warrant exercises</w:t>
            </w:r>
          </w:p>
        </w:tc>
        <w:tc>
          <w:tcPr>
            <w:tcW w:w="1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6,489,183</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60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Common stock issued as compensation to third-parties</w:t>
            </w:r>
          </w:p>
        </w:tc>
        <w:tc>
          <w:tcPr>
            <w:tcW w:w="11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9,940</w:t>
            </w:r>
          </w:p>
        </w:tc>
        <w:tc>
          <w:tcPr>
            <w:tcW w:w="80" w:type="dxa"/>
            <w:vAlign w:val="bottom"/>
            <w:tcBorders>
              <w:bottom w:val="single" w:sz="8" w:color="auto"/>
            </w:tcBorders>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160" w:type="dxa"/>
            <w:vAlign w:val="bottom"/>
            <w:gridSpan w:val="2"/>
          </w:tcPr>
          <w:p>
            <w:pPr>
              <w:ind w:left="1140"/>
              <w:spacing w:after="0"/>
              <w:rPr>
                <w:sz w:val="20"/>
                <w:szCs w:val="20"/>
                <w:color w:val="auto"/>
              </w:rPr>
            </w:pPr>
            <w:r>
              <w:rPr>
                <w:rFonts w:ascii="Arial" w:cs="Arial" w:eastAsia="Arial" w:hAnsi="Arial"/>
                <w:sz w:val="18"/>
                <w:szCs w:val="18"/>
                <w:color w:val="auto"/>
              </w:rPr>
              <w:t>Balance as of June 30, 2021</w:t>
            </w:r>
          </w:p>
        </w:tc>
        <w:tc>
          <w:tcPr>
            <w:tcW w:w="11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34,977,923</w:t>
            </w:r>
          </w:p>
        </w:tc>
        <w:tc>
          <w:tcPr>
            <w:tcW w:w="80" w:type="dxa"/>
            <w:vAlign w:val="bottom"/>
            <w:tcBorders>
              <w:bottom w:val="single" w:sz="8" w:color="auto"/>
            </w:tcBorders>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160" w:type="dxa"/>
            <w:vAlign w:val="bottom"/>
            <w:gridSpan w:val="2"/>
            <w:vMerge w:val="restart"/>
          </w:tcPr>
          <w:p>
            <w:pPr>
              <w:ind w:left="5540"/>
              <w:spacing w:after="0"/>
              <w:rPr>
                <w:sz w:val="20"/>
                <w:szCs w:val="20"/>
                <w:color w:val="auto"/>
              </w:rPr>
            </w:pPr>
            <w:r>
              <w:rPr>
                <w:rFonts w:ascii="Arial" w:cs="Arial" w:eastAsia="Arial" w:hAnsi="Arial"/>
                <w:sz w:val="18"/>
                <w:szCs w:val="18"/>
                <w:color w:val="auto"/>
              </w:rPr>
              <w:t>22</w:t>
            </w:r>
          </w:p>
        </w:tc>
        <w:tc>
          <w:tcPr>
            <w:tcW w:w="1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7160" w:type="dxa"/>
            <w:vAlign w:val="bottom"/>
            <w:gridSpan w:val="2"/>
            <w:vMerge w:val="continue"/>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60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Warrants</w:t>
      </w:r>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On June 2, 2014, pursuant to the terms of the Deerfield Facility Agreement, the Company issued the Deerfield Warrant to purchase 14,423,076 shares of Series D Preferred (Note C). The Company recorded the fair value of the Deerfield Warrant as a debt discount and a warrant liability. The Deerfield Warrant, if unexercised, expires on the earlier of June 2, 2024, or upon a liquidation event. Upon completion of the Company’s initial public offering (the “IPO”), the Deerfield Warrant automatically converted into a warrant to purchase 1,923,077 shares of the Company’s common stock at an exercise price of $5.85 per share. After giving effect to the Reverse Stock Split effected in December 2020, the exercise price of the Deerfield Warrant became $93.60 and the shares of the Company’s common stock issuable upon exercise of the Deerfield Warrant became 120,192 shares of common stock. As a result of the January 2021 Inducement Transaction (discussed below) the anti-dilution provisions within the Deerfield Warrant were triggered and the exercise price was reduced from $93.60 per share to $46.25 per share. In addition, as a result of the June 2021 Warrant Inducement Transaction (discussed below) the anti-dilution provision within the Deerfield Warrant were triggered and the exercise price was reduced from $46.25 per share to $38.34 per share. The Company amortized the debt discount over the term of the Deerfield Convertible Note and the expense was recorded as interest expense related to amortization of debt issuance costs and discount in the unaudited condensed statements of operations. The Deerfield Convertible Note was extinguished in February 2021 and the remaining debt discount was written off and recognized as a loss on extinguishment of debt.</w:t>
      </w:r>
    </w:p>
    <w:p>
      <w:pPr>
        <w:spacing w:after="0" w:line="17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Company determined that the Deerfield Warrant should be recorded as a liability and stated at fair value at each reporting period upon inception. As stated above, upon completion of the IPO, the Deerfield Warrant automatically converted into warrants to purchase the Company’s common stock. The Deerfield Warrant remains classified as a liability and is recorded at fair value at each reporting period since it can be settled in cash. Changes to the fair value of the warrant liability are recorded through the unaudited condensed statements of operations as a fair value adjustment (Note H).</w:t>
      </w:r>
    </w:p>
    <w:p>
      <w:pPr>
        <w:spacing w:after="0" w:line="15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APADAZ License Agreement, in October 2018, the Company issued to KVK a warrant to purchase up to 500,000 shares of common stock of the Company at an exercise price of $2.30 per share, which reflected the closing price of the Company’s common stock on the Nasdaq Stock Market on the execution date of the APADAZ License Agreement (the “KVK Warrant”). The KVK Warrant is initially not exercisable for any shares of common stock. Upon the achievement of each of four specified milestones under the KVK Warrant, the KVK Warrant will become exercisable for an additional 125,000 shares, up to an aggregate of 500,000 shares of the Company’s common stock. The exercise price and the number and type of shares underlying the KVK Warrant are subject to adjustment in the event of specified events, including a reclassification of the Company’s common stock, a subdivision or combination of the Company’s common stock, or in the event of specified dividend payments. The KVK Warrant is exercisable until October 24, 2023. Upon exercise, the aggregate exercise price may be paid, at KVK’s election, in cash or on a net issuance basis, based upon the fair market value of the Company’s common stock at the time of exercise. After giving effect to the Reverse Stock Split effected in December 2020, the exercise price of the KVK Warrant became $36.80 and the shares of common stock issuable upon exercise of the KVK Warrant became 31,250 shares of common stock.</w:t>
      </w:r>
    </w:p>
    <w:p>
      <w:pPr>
        <w:spacing w:after="0" w:line="16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Company determined that, since KVK qualifies as a customer under ASC 606, the KVK Warrant should be recorded as a contract asset and recognized as contra-revenue as the Company recognizes revenue from the APADAZ License Agreement. In addition, the Company determined that the KVK Warrant qualifies as a derivative under ASC 815 and should be recorded as a liability and stated at fair value each reporting period. The Company calculates the fair value of the KVK Warrant using a probability-weighted Black-Scholes option pricing model. Changes in fair value resulting from changes in the inputs to the Black Scholes model are accounted for as changes in the fair value of the derivative under ASC 815 and are recorded as fair value adjustment related to derivative and warrant liability in the statements of operations. Changes in the number of shares that are expected to be issued are treated as changes in variable consideration under ASC 606 and are recorded as a change in contract asset in the balance sheets. As of June 30, 2021 and December 31, 2020, a contract asset of $0.4 million is recorded in other long-term assets on the balance sheets related to the KVK Warrant.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Pre-Funded Warrants</w:t>
      </w:r>
    </w:p>
    <w:p>
      <w:pPr>
        <w:spacing w:after="0" w:line="22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12, 2021, pursuant to the terms of the Underwriting Agreement, the Company issued pre-funded warrants to purchase 926,844 shares of the Company’s common stock to specified investors in the Public Offering. Each pre-funded warrant had an initial exercise price per share equal to $0.0001. The pre-funded warrants were immediately exercisable. The pre-funded warrants were exercisable, at the option of each holder, in whole or in part, by delivering to the Company a duly executed exercise notice accompanied by payment in full for the number of shares of common stock purchased upon such exercise. In lieu of making the cash payment otherwise contemplated to be made to the Company upon such exercise in payment of the aggregate exercise price, the holder was able to elect instead to receive upon such exercise (either in whole or in part) the net number of shares of common stock determined according to a formula set forth in the pre-funded warrants. As of June 30, 2021, all pre-funded warrants have been exercised for 926,841 shares of common stock and gross proceeds of approximately $72.</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to Purchase Common Stock</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On January 12, 2021, pursuant to the terms of the Underwriting Agreement and December 2020 Exchange Agreement, the Company issued warrants to purchase 12,078,361 shares of the Company’s common stock (collectively, the “Offering Warrants”) in the Public Offering and in connection with the transactions contemplated under the December 2020 Exchange Agreement. The Offering Warrants were immediately exercisable and expire on the fifth anniversary of their issuance date, at an exercise price per share of common stock equal to $6.50 per share. The Offering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Offering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Offering Warrants. A holder (together with its affiliates) may not exercise any portion of the Offering Warrant to the extent that the holder and its affiliates and any other person or entities with which such holder would constitute a Section 13(d) “group” would own more than 4.99% of the Company’s outstanding common stock immediately after exercise. Except as otherwise provided in the Offering Warrants or by virtue of such holder’s ownership of shares of the Company’s common stock, the holders of the Offering Warrants do not have the rights or privileges of holders of common stock with respect to the shares of common stock underlying the Offering Warrants, including any voting rights, until they exercise their Offering Warrants. The Offering Warrants provide that holders have the right to participate in distributions or dividends paid on the Company’s common stock. In the event of a fundamental transaction, as described in the Offering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Offering Warrants will be entitled to receive upon exercise of the Warrants the kind and amount of securities, cash or other property that the holders would have received had they exercised the Offering Warrants immediately prior to such fundamental transaction. In addition, in the event of a fundamental transaction which is approved by the Company’s board of directors, the holders of the warrants have the right to require the Company or a successor entity to redeem the Offering Warrants for cash in the amount of the Black Scholes value of the unexercised portion of the Offering Warrants on the date of the consummation of the fundamental transaction. In the event of a fundamental transaction which is not approved by the Company’s board of directors, the holders of the Offering Warrants have the right to require the Company or a successor entity to redeem the Offering Warrants in the amount of the Black Scholes value of the unexercised portion of the Offering Warrants on the date of the consummation of the fundamental transaction payable in the form of consideration paid to the holders of common stock in such fundamental transaction. The Offering Warrants meet the equity classification requirements and thus are recorded in additional paid-in capital on the unaudited condensed balance sheets. As of June 30, 2021, 3,302,645 Offering Warrants have been exercised for 2,871,668 shares of common stock and gross proceeds of approximately $15.9 million. These amounts are exclusive of the Offering Warrants exercised as part of the January 2021 Inducement Transaction discussed below.</w:t>
      </w:r>
    </w:p>
    <w:p>
      <w:pPr>
        <w:spacing w:after="0" w:line="3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Underwriter Warrant</w:t>
      </w:r>
    </w:p>
    <w:p>
      <w:pPr>
        <w:spacing w:after="0" w:line="22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12, 2021, pursuant to the terms of the Underwriting Agreement, the Company issued to the Underwriter a warrant to purchase 806,932 shares of the Company’s common stock (the “Underwriter Warrant”). The Underwriter Warrant is subject to substantially the same terms and conditions as the Warrants, provided that the exercise price for the Underwriter Warrant is $8.125 per share. If the Underwriter exercises any additional portion of its over-allotment option, then the Company shall issue the Underwriter an additional Underwriter Warrant exercisable for a number of shares of common stock equal to 5.0% of the number of shares of common stock issued in such over-allotment exercise (including the shares of common stock issuable upon the exercise of any Warrants issued in connection therewith). In connection with the closing of the Underwriter's partial exercise of its over-allotment option, on February 3, 2021, the Underwriter was issued an additional warrant to purchase 18,702 shares of common stock. As of June 30, 2021, 400,000 Underwriter Warrants have been exercised for 400,000 shares of common stock and gross proceeds of approximately $3.3 million.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January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January 26, 2021, the Company entered into warrant exercise inducement offer letters ( “January 2021 Inducement Transaction”) with certain holders of warrants issued in the Public Offering discussed above (the "Existing Warrants") (collectively, the “Exercising Holders”) pursuant to which such holders agreed to exercise for cash their Existing Warrants to purchase 6,620,358 shares of the Company’s common stock in exchange for the Company’s agreement to issue new warrants (the “January 2021 Inducement Warrants”) on substantially the same terms as the Existing Warrants, except as set forth in the following sentence, to purchase up to 7,944,430 shares of the Company’s common stock, which is equal to 120% of the number of shares of the Company’s common stock issued upon exercise of the Existing Warrants. The purchase price of the January 2021 Inducement Warrants was $0.125 per share underlying each January 2021 Inducement Warrant, and the January 2021 Inducement Warrants have an exercise price of $6.36 per share. The Company received aggregate gross proceeds of approximately $44.0 million from the exercise of the Existing Warrants by the Exercising Holders and the sale of the January 2021 Inducement Warrants. The Company engaged Roth as its exclusive placement agent in connection with these transactions and paid Roth a fee equal to 6% of gross proceeds from the exercise of the Existing Warrants by the Exercising Holders and the sale of the January 2021 Inducement Warrants. As a result of this transaction the anti-dilution provisions contained with the Deerfield Warrant were triggered and the exercise price of the Deerfield Warrant was reduced from $93.60 per share to $46.25 per share.</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January 2021 Inducement Warrants were immediately exercisable and expire on the fifth anniversary of their issuance date, at an exercise price per share of common stock equal to $6.36 per share. The January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January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January 2021 Inducement Warrant to the extent that the holder and its affiliates and any other person or entities with which such holder would constitute a Section 13(d) “group” would own more than 4.99% (or, upon election by a holder prior to the issuance of its January 2021 Inducement Warrants, 9.99%) of the Company’s outstanding common stock immediately after exercise. Except as otherwise provided in the January 2021 Inducement Warrants or by virtue of such holder’s ownership of shares of the Company’s common stock, the holders of the January 2021 Inducement Warrants do not have the rights or privileges of holders of common stock with respect to the shares of common stock underlying the January 2021 Inducement Warrants, including any voting rights, until they exercise their January 2021 Inducement Warrants. The January 2021 Inducement Warrants provide that holders have the right to participate in distributions or dividends paid on the Company’s common stock. In the event of a fundamental transaction, as described in the January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January 2021 Inducement Warrants will be entitled to receive upon exercise of the January 2021 Inducement Warrants the kind and amount of securities, cash or other property that the holders would have received had they exercised the January 2021 Inducement Warrants immediately prior to such fundamental transaction. In addition, in the event of a fundamental transaction which is approved by the Company’s board of directors, the holders of the January 2021 Inducement Warrants have the right to require the Company or a successor entity to redeem the January 2021 Inducement Warrants for cash in the amount of the Black Scholes value of the unexercised portion of the January 2021 Inducement Warrants on the date of the consummation of the fundamental transaction. In the event of a fundamental transaction which is not approved by the Company’s board of directors, the holders of the January 2021 Inducement Warrants have the right to require the Company or a successor entity to redeem the January 2021 Inducement Warrants in the amount of the Black Scholes value of the unexercised portion of the January 2021 Inducement Warrants on the date of the consummation of the fundamental transaction payable in the form of consideration paid to the holders of common stock in such fundamental transaction. As of June 30, 2021, 1,676,921 January 2021 Inducement Warrants have been exercised for 1,676,921 shares of common stock and gross proceeds of approximately $10.7 million. These amounts are exclusive of the January 2021 Inducement Warrants exercised as part of the June 2021 Inducement Transaction discussed below.</w:t>
      </w:r>
    </w:p>
    <w:p>
      <w:pPr>
        <w:spacing w:after="0" w:line="39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January 2021 Inducement Transaction we recognized a deemed dividend of $37.4 million which is the difference between the grant date fair value of the January 2021 Inducement Warrants and the purchase price of the January 2021 Inducement Warrants. This deemed dividend is added to net loss to arrive at net loss attributable to common stockholders on the unaudited condensed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June 2021 Warrant Exercise Inducement Letters and Issuance of Warrants</w:t>
      </w:r>
    </w:p>
    <w:p>
      <w:pPr>
        <w:spacing w:after="0" w:line="227"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On June 18, 2021, the Company entered into warrant exercise inducement offer letters ( “June 2021 Inducement Transaction”) with certain holders of warrants issued in the January 2021 Inducement Transaction discussed above (the "January 2021 Inducement Warrants") (collectively, the “June 2021 Exercising Holders”) pursuant to which such holders agreed to exercise for cash their January 2021 Inducement Warrants to purchase 6,117,509 shares of the Company’s common stock in exchange for the Company’s agreement to issue new warrants (the “June 2021 Inducement Warrants”) on substantially the same terms as the January 2021 Inducement Warrants, except as set forth in the following sentence, to purchase up to 1,529,379 shares of the Company’s common stock, which is equal to 25% of the number of shares of the Company’s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Company received aggregate gross proceeds of approximately $39.1 million from the exercise of the January 2021 Inducement Warrants by the June 2021 Exercising Holders and the sale of the June 2021 Inducement Warrants. The Company engaged Roth as its exclusive placement agent in connection with these transactions and paid Roth a fee equal to 6% of gross proceeds from the exercise of the January 2021 Inducement Warrants by the June 2021 Exercising Holders and the sale of the June 2021 Inducement Warrants. As a result of this transaction the anti-dilution provisions contained with the Deerfield Warrant were triggered and the exercise price of the Deerfield Warrant was reduced from $46.25 per share to $38.34 per share.</w:t>
      </w:r>
    </w:p>
    <w:p>
      <w:pPr>
        <w:spacing w:after="0" w:line="183"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The June 2021 Inducement Warrants were immediately exercisable and expire on December 31, 2026, at an exercise price per share of common stock equal to $16.50 per share. The June 2021 Inducement Warrants are exercisable, at the option of each holder, in whole or in part, by delivering to the Company a duly executed exercise notice, provided that payment in full for the number of shares of the Company’s common stock purchased upon such exercise is delivered to the Company in accordance with the terms of the June 2021 Inducement Warrants. In lieu of making the cash payment otherwise contemplated to be made to the Company upon such exercise in payment of the aggregate exercise price, the holder may elect instead to receive upon such exercise (either in whole or in part) the net number of shares of common stock determined according to a formula set forth in the warrants. A holder (together with its affiliates) may not exercise any portion of the June 2021 Inducement Warrant to the extent that the holder and its affiliates and any other person or entities with which such holder would constitute a Section 13(d) “group” would own more than 4.99% (or, upon election by a holder prior to the issuance of its June 2021 Inducement Warrants, 9.99%) of the Company’s outstanding common stock immediately after exercise. Except as otherwise provided in the June 2021 Inducement Warrants or by virtue of such holder’s ownership of shares of the Company’s common stock, the holders of the June 2021 Inducement Warrants do not have the rights or privileges of holders of common stock with respect to the shares of common stock underlying the June 2021 Inducement Warrants, including any voting rights, until they exercise their June 2021 Inducement Warrants. The June 2021 Inducement Warrants provide that holders have the right to participate in distributions or dividends paid on the Company’s common stock. In the event of a fundamental transaction, as described in the June 2021 Inducement Warrants and generally including any reorganization, recapitalization or reclassification of the Company’s common stock, the sale, transfer or other disposition of all or substantially all of the Company’s properties or assets, the Company’s consolidation or merger with or into another person, the acquisition of more than 50% of the Company’s outstanding common stock, or any person or group becoming the beneficial owner of 50% of the voting power represented by the Company’s outstanding common stock, the holders of the June 2021 Inducement Warrants will be entitled to receive upon exercise of the June 2021 Inducement Warrants the kind and amount of securities, cash or other property that the holders would have received had they exercised the June 2021 Inducement Warrants immediately prior to such fundamental transaction. In addition, in the event of a fundamental transaction which is approved by the Company’s board of directors, the holders of the June 2021 Inducement Warrants have the right to require the Company or a successor entity to redeem the June 2021 Inducement Warrants for cash in the amount of the Black Scholes value of the unexercised portion of the June 2021 Inducement Warrants on the date of the consummation of the fundamental transaction. In the event of a fundamental transaction which is not approved by the Company’s board of directors, the holders of the June 2021 Inducement Warrants have the right to require the Company or a successor entity to redeem the June 2021 Inducement Warrants in the amount of the Black Scholes value of the unexercised portion of the June 2021 Inducement Warrants on the date of the consummation of the fundamental transaction payable in the form of consideration paid to the holders of common stock in such fundamental transaction. As of June 30, 2021, no June 2021 Inducement Warrants have been exercised.</w:t>
      </w:r>
    </w:p>
    <w:p>
      <w:pPr>
        <w:spacing w:after="0" w:line="18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added to net loss to arrive at net loss attributable to common stockholders on the unaudited condensed statements of operations.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605" w:right="3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Company maintains a stock-based compensation plan (the “Incentive Stock Plan”) that governs stock awards made to employees and directors prior to completion of the IPO.</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November 2014, the Board of Directors of the Company ("the Board"), and in April 2015, the Company’s stockholders, approved the Company’s 2014 Equity Incentive Plan (the “2014 Plan”), which became effective in April 2015. The 2014 Plan provides for the grant of stock options, other forms of equity compensation, and performance cash awards. In June 2021, the Board and the Company's stockholders approved an Amended and Restated 2014 Equity Incentive Plan (the "A&amp;R 2014 Plan") which among other things added 4.9 million shares to the maximum number of shares of common stock to be issued under the plan and extended the annual automatic increases (discussed further below) until January 1, 2031. The maximum number of shares of common stock that may be issued under the A&amp;R 2014 Plan is 5,069,317 as of June 30, 2021. The number of shares of common stock reserved for issuance under the 2014 Plan will automatically increase on January 1 of each year, beginning on January 1, 2016, and ending on and including January 1, 2031, by 4% of the total number of shares of the Company’s capital stock outstanding on December 31 of the preceding calendar year, or a lesser number of shares determined by the Board. Pursuant to the terms of the 2014 Plan, on January 1, 2021, the common stock reserved for issuance under the 2014 Plan automatically increased by 181,492 shares.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During 2020, the Company granted to certain consultants fully vested restricted stock awards (“RSAs”) under the 2014 Plan. The RSAs were granted as compensation in accordance with each consultants consulting agreement for services performed during 2020. For the three and six months ended June 30, 2020, RSAs were granted for a total of 4,015 and 7,821 shares of common stock, respectively. No RSAs were granted during the three and six months ended June 30, 2021.</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No stock options were exercised during the three or six months ended June 30, 2021 or 2020, respectively.</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Stock-based compensation expense recorded under the Incentive Stock Plan and the 2014 Plan is included in the following line items in the accompanying statements of operations (in thousands):</w:t>
      </w:r>
    </w:p>
    <w:p>
      <w:pPr>
        <w:spacing w:after="0" w:line="167"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4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4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7"/>
              </w:rPr>
              <w:t>Six months ended June 30,</w:t>
            </w:r>
          </w:p>
        </w:tc>
      </w:tr>
      <w:tr>
        <w:trPr>
          <w:trHeight w:val="208"/>
        </w:trPr>
        <w:tc>
          <w:tcPr>
            <w:tcW w:w="4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r>
      <w:tr>
        <w:trPr>
          <w:trHeight w:val="208"/>
        </w:trPr>
        <w:tc>
          <w:tcPr>
            <w:tcW w:w="40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780" w:type="dxa"/>
            <w:vAlign w:val="bottom"/>
            <w:gridSpan w:val="2"/>
            <w:shd w:val="clear" w:color="auto" w:fill="CCEEFF"/>
          </w:tcPr>
          <w:p>
            <w:pPr>
              <w:jc w:val="right"/>
              <w:ind w:right="610"/>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133</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429</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591</w:t>
            </w:r>
          </w:p>
        </w:tc>
      </w:tr>
      <w:tr>
        <w:trPr>
          <w:trHeight w:val="215"/>
        </w:trPr>
        <w:tc>
          <w:tcPr>
            <w:tcW w:w="404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185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564</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638</w:t>
            </w:r>
          </w:p>
        </w:tc>
      </w:tr>
      <w:tr>
        <w:trPr>
          <w:trHeight w:val="215"/>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Severance expense</w:t>
            </w:r>
          </w:p>
        </w:tc>
        <w:tc>
          <w:tcPr>
            <w:tcW w:w="2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420</w:t>
            </w:r>
          </w:p>
        </w:tc>
      </w:tr>
      <w:tr>
        <w:trPr>
          <w:trHeight w:val="208"/>
        </w:trPr>
        <w:tc>
          <w:tcPr>
            <w:tcW w:w="40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780" w:type="dxa"/>
            <w:vAlign w:val="bottom"/>
            <w:gridSpan w:val="2"/>
          </w:tcPr>
          <w:p>
            <w:pPr>
              <w:jc w:val="right"/>
              <w:ind w:right="610"/>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w w:val="99"/>
              </w:rPr>
              <w:t>318</w:t>
            </w:r>
          </w:p>
        </w:tc>
        <w:tc>
          <w:tcPr>
            <w:tcW w:w="3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993</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1,649</w:t>
            </w:r>
          </w:p>
        </w:tc>
      </w:tr>
      <w:tr>
        <w:trPr>
          <w:trHeight w:val="20"/>
        </w:trPr>
        <w:tc>
          <w:tcPr>
            <w:tcW w:w="4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There was $0.4 million of stock-based compensation expense related to performance-based awards recognized during the six months ended June 30, 2021. There was $0.3 million of stock-based compensation expense related to performance-based awards recognized during the three and six months ended June 30, 2020. There was no stock-based compensation expense related to performance-based awards recognized during the three months ended June 30, 2021.</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Instruments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accounting standard for fair value measurements provides a framework for measuring fair value and requires disclosures regarding fair value measurements. Fair value is defined as the price that would be received to sell an asset or paid to transfer a liability in an orderly transaction between market participants at the measurement date, based on the Company’s principal or, in absence of a principal, most advantageous market for the specific asset or liability.</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 uses a three-tier fair value hierarchy to classify and disclose all assets and liabilities measured at fair value on a recurring basis, as well as assets and liabilities measured at fair value on a non-recurring basis, in periods subsequent to their initial measurement. The hierarchy requires the Company to use observable inputs when available, and to minimize the use of unobservable inputs, when determining fair value. The three tiers are defined as follows:</w:t>
      </w:r>
    </w:p>
    <w:p>
      <w:pPr>
        <w:spacing w:after="0" w:line="185" w:lineRule="exact"/>
        <w:rPr>
          <w:sz w:val="20"/>
          <w:szCs w:val="20"/>
          <w:color w:val="auto"/>
        </w:rPr>
      </w:pPr>
    </w:p>
    <w:p>
      <w:pPr>
        <w:ind w:left="460" w:hanging="224"/>
        <w:spacing w:after="0"/>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1—Observable inputs that reflect quoted market prices (unadjusted) for identical assets or liabilities in active markets;</w:t>
      </w:r>
    </w:p>
    <w:p>
      <w:pPr>
        <w:spacing w:after="0" w:line="22" w:lineRule="exact"/>
        <w:rPr>
          <w:rFonts w:ascii="Arial" w:cs="Arial" w:eastAsia="Arial" w:hAnsi="Arial"/>
          <w:sz w:val="18"/>
          <w:szCs w:val="18"/>
          <w:color w:val="auto"/>
        </w:rPr>
      </w:pPr>
    </w:p>
    <w:p>
      <w:pPr>
        <w:ind w:left="460" w:hanging="224"/>
        <w:spacing w:after="0" w:line="249"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Level 2—Observable inputs other than quoted prices in active markets that are observable either directly or indirectly in the marketplace for identical or similar assets and liabilities; and</w:t>
      </w:r>
    </w:p>
    <w:p>
      <w:pPr>
        <w:ind w:left="460" w:hanging="224"/>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Level 3—Unobservable inputs that are supported by little or no market data, which require the Company to develop its own assumptions.</w:t>
      </w:r>
    </w:p>
    <w:p>
      <w:pPr>
        <w:spacing w:after="0" w:line="22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carrying amounts of certain financial instruments, including cash and cash equivalents, restricted cash and accounts payable and accrued expenses, approximate their respective fair values due to the short-term nature of such instruments.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values of the Deerfield Convertible Note, December 2019 Notes and the January 2020 Note were $7.3 million, $56.2 million and $3.1 million, respectively, as of December 31, 2020. The Deerfield Convertible Note, December 2019 Notes and the January 2020 Note were all extinguished in the first quarter of 2021 and therefore had no value as of June 30, 2021. The Deerfield Convertible Note, December 2019 Notes and the January 2020 Note fell within Level 3 of the fair value hierarchy as their value was based on the credit worthiness of the Company, which was an unobservable input. The Company used a Tsiveriotis-Fernandes model to value the Deerfield Convertible Note, December 2019 Notes and the January 2020 Note as of December 31,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Company evaluates its financial assets and liabilities subject to fair value measurements on a recurring basis to determine the appropriate level in which to classify them for each reporting period. This determination requires significant judgments to be made. The following table summarizes the conclusions reached regarding fair value measurements as of June 30, 2021 and December 31, 2020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60" w:type="dxa"/>
            <w:vAlign w:val="bottom"/>
            <w:gridSpan w:val="2"/>
          </w:tcPr>
          <w:p>
            <w:pPr>
              <w:jc w:val="right"/>
              <w:ind w:right="50"/>
              <w:spacing w:after="0"/>
              <w:rPr>
                <w:sz w:val="20"/>
                <w:szCs w:val="20"/>
                <w:color w:val="auto"/>
              </w:rPr>
            </w:pPr>
            <w:r>
              <w:rPr>
                <w:rFonts w:ascii="Arial" w:cs="Arial" w:eastAsia="Arial" w:hAnsi="Arial"/>
                <w:sz w:val="18"/>
                <w:szCs w:val="18"/>
                <w:b w:val="1"/>
                <w:bCs w:val="1"/>
                <w:color w:val="auto"/>
                <w:w w:val="85"/>
              </w:rPr>
              <w:t>Balance as of June</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c>
          <w:tcPr>
            <w:tcW w:w="1120" w:type="dxa"/>
            <w:vAlign w:val="bottom"/>
          </w:tcPr>
          <w:p>
            <w:pPr>
              <w:spacing w:after="0"/>
              <w:rPr>
                <w:sz w:val="18"/>
                <w:szCs w:val="18"/>
                <w:color w:val="auto"/>
              </w:rPr>
            </w:pPr>
          </w:p>
        </w:tc>
      </w:tr>
      <w:tr>
        <w:trPr>
          <w:trHeight w:val="233"/>
        </w:trPr>
        <w:tc>
          <w:tcPr>
            <w:tcW w:w="114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30, 2021</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Deerfield Warrant liability</w:t>
            </w:r>
          </w:p>
        </w:tc>
        <w:tc>
          <w:tcPr>
            <w:tcW w:w="72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628</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Embedded Warrant Put Option</w:t>
            </w: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2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KVK Warrant liability</w:t>
            </w: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ind w:left="940"/>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r>
      <w:tr>
        <w:trPr>
          <w:trHeight w:val="208"/>
        </w:trPr>
        <w:tc>
          <w:tcPr>
            <w:tcW w:w="3820" w:type="dxa"/>
            <w:vAlign w:val="bottom"/>
            <w:gridSpan w:val="2"/>
          </w:tcPr>
          <w:p>
            <w:pPr>
              <w:ind w:left="1140"/>
              <w:spacing w:after="0"/>
              <w:rPr>
                <w:sz w:val="20"/>
                <w:szCs w:val="20"/>
                <w:color w:val="auto"/>
              </w:rPr>
            </w:pPr>
            <w:r>
              <w:rPr>
                <w:rFonts w:ascii="Arial" w:cs="Arial" w:eastAsia="Arial" w:hAnsi="Arial"/>
                <w:sz w:val="18"/>
                <w:szCs w:val="18"/>
                <w:color w:val="auto"/>
              </w:rPr>
              <w:t>Total liabilities</w:t>
            </w:r>
          </w:p>
        </w:tc>
        <w:tc>
          <w:tcPr>
            <w:tcW w:w="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728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ind w:left="940"/>
              <w:spacing w:after="0"/>
              <w:rPr>
                <w:sz w:val="20"/>
                <w:szCs w:val="20"/>
                <w:color w:val="auto"/>
              </w:rPr>
            </w:pPr>
            <w:r>
              <w:rPr>
                <w:rFonts w:ascii="Arial" w:cs="Arial" w:eastAsia="Arial" w:hAnsi="Arial"/>
                <w:sz w:val="18"/>
                <w:szCs w:val="18"/>
                <w:color w:val="auto"/>
              </w:rPr>
              <w:t>62</w:t>
            </w:r>
          </w:p>
        </w:tc>
        <w:tc>
          <w:tcPr>
            <w:tcW w:w="160" w:type="dxa"/>
            <w:vAlign w:val="bottom"/>
            <w:gridSpan w:val="2"/>
          </w:tcPr>
          <w:p>
            <w:pPr>
              <w:ind w:left="80"/>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666</w:t>
            </w:r>
          </w:p>
        </w:tc>
        <w:tc>
          <w:tcPr>
            <w:tcW w:w="1120" w:type="dxa"/>
            <w:vAlign w:val="bottom"/>
          </w:tcPr>
          <w:p>
            <w:pPr>
              <w:spacing w:after="0"/>
              <w:rPr>
                <w:sz w:val="18"/>
                <w:szCs w:val="18"/>
                <w:color w:val="auto"/>
              </w:rPr>
            </w:pPr>
          </w:p>
        </w:tc>
      </w:tr>
      <w:tr>
        <w:trPr>
          <w:trHeight w:val="20"/>
        </w:trPr>
        <w:tc>
          <w:tcPr>
            <w:tcW w:w="114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26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3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140"/>
        <w:spacing w:after="0" w:line="286" w:lineRule="auto"/>
        <w:rPr>
          <w:sz w:val="20"/>
          <w:szCs w:val="20"/>
          <w:color w:val="auto"/>
        </w:rPr>
      </w:pPr>
      <w:r>
        <w:rPr>
          <w:rFonts w:ascii="Arial" w:cs="Arial" w:eastAsia="Arial" w:hAnsi="Arial"/>
          <w:sz w:val="16"/>
          <w:szCs w:val="16"/>
          <w:color w:val="auto"/>
        </w:rPr>
        <w:t>Deerfield Warrant liability Embedded Warrant Put Option Deerfield Note Conversion Feature</w:t>
      </w:r>
    </w:p>
    <w:p>
      <w:pPr>
        <w:spacing w:after="0" w:line="2"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KVK Warrant liability</w:t>
      </w:r>
    </w:p>
    <w:p>
      <w:pPr>
        <w:spacing w:after="0" w:line="47"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Total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Quoted Prices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in Active</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Significant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Markets for</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210"/>
              <w:spacing w:after="0"/>
              <w:rPr>
                <w:sz w:val="20"/>
                <w:szCs w:val="20"/>
                <w:color w:val="auto"/>
              </w:rPr>
            </w:pPr>
            <w:r>
              <w:rPr>
                <w:rFonts w:ascii="Arial" w:cs="Arial" w:eastAsia="Arial" w:hAnsi="Arial"/>
                <w:sz w:val="18"/>
                <w:szCs w:val="18"/>
                <w:b w:val="1"/>
                <w:bCs w:val="1"/>
                <w:color w:val="auto"/>
              </w:rPr>
              <w:t>Significant</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250"/>
              <w:spacing w:after="0"/>
              <w:rPr>
                <w:sz w:val="20"/>
                <w:szCs w:val="20"/>
                <w:color w:val="auto"/>
              </w:rPr>
            </w:pPr>
            <w:r>
              <w:rPr>
                <w:rFonts w:ascii="Arial" w:cs="Arial" w:eastAsia="Arial" w:hAnsi="Arial"/>
                <w:sz w:val="18"/>
                <w:szCs w:val="18"/>
                <w:b w:val="1"/>
                <w:bCs w:val="1"/>
                <w:color w:val="auto"/>
                <w:w w:val="91"/>
              </w:rPr>
              <w:t>Balance as of</w:t>
            </w:r>
          </w:p>
        </w:tc>
        <w:tc>
          <w:tcPr>
            <w:tcW w:w="8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Identical Assets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center"/>
              <w:ind w:right="130"/>
              <w:spacing w:after="0"/>
              <w:rPr>
                <w:sz w:val="20"/>
                <w:szCs w:val="20"/>
                <w:color w:val="auto"/>
              </w:rPr>
            </w:pPr>
            <w:r>
              <w:rPr>
                <w:rFonts w:ascii="Arial" w:cs="Arial" w:eastAsia="Arial" w:hAnsi="Arial"/>
                <w:sz w:val="18"/>
                <w:szCs w:val="18"/>
                <w:b w:val="1"/>
                <w:bCs w:val="1"/>
                <w:color w:val="auto"/>
                <w:w w:val="87"/>
              </w:rPr>
              <w:t>Observable</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10"/>
              <w:spacing w:after="0"/>
              <w:rPr>
                <w:sz w:val="20"/>
                <w:szCs w:val="20"/>
                <w:color w:val="auto"/>
              </w:rPr>
            </w:pPr>
            <w:r>
              <w:rPr>
                <w:rFonts w:ascii="Arial" w:cs="Arial" w:eastAsia="Arial" w:hAnsi="Arial"/>
                <w:sz w:val="18"/>
                <w:szCs w:val="18"/>
                <w:b w:val="1"/>
                <w:bCs w:val="1"/>
                <w:color w:val="auto"/>
                <w:w w:val="87"/>
              </w:rPr>
              <w:t>Unobservable</w:t>
            </w:r>
          </w:p>
        </w:tc>
      </w:tr>
      <w:tr>
        <w:trPr>
          <w:trHeight w:val="233"/>
        </w:trPr>
        <w:tc>
          <w:tcPr>
            <w:tcW w:w="20" w:type="dxa"/>
            <w:vAlign w:val="bottom"/>
          </w:tcPr>
          <w:p>
            <w:pPr>
              <w:spacing w:after="0"/>
              <w:rPr>
                <w:sz w:val="20"/>
                <w:szCs w:val="20"/>
                <w:color w:val="auto"/>
              </w:rPr>
            </w:pPr>
          </w:p>
        </w:tc>
        <w:tc>
          <w:tcPr>
            <w:tcW w:w="15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4"/>
              </w:rPr>
              <w:t>December 31, 2020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0"/>
              </w:rPr>
              <w:t>(Level 1)</w:t>
            </w:r>
          </w:p>
        </w:tc>
        <w:tc>
          <w:tcPr>
            <w:tcW w:w="80" w:type="dxa"/>
            <w:vAlign w:val="bottom"/>
          </w:tcPr>
          <w:p>
            <w:pPr>
              <w:spacing w:after="0"/>
              <w:rPr>
                <w:sz w:val="20"/>
                <w:szCs w:val="20"/>
                <w:color w:val="auto"/>
              </w:rPr>
            </w:pPr>
          </w:p>
        </w:tc>
        <w:tc>
          <w:tcPr>
            <w:tcW w:w="1320" w:type="dxa"/>
            <w:vAlign w:val="bottom"/>
            <w:tcBorders>
              <w:bottom w:val="single" w:sz="8" w:color="auto"/>
            </w:tcBorders>
            <w:gridSpan w:val="2"/>
          </w:tcPr>
          <w:p>
            <w:pPr>
              <w:jc w:val="center"/>
              <w:ind w:right="10"/>
              <w:spacing w:after="0"/>
              <w:rPr>
                <w:sz w:val="20"/>
                <w:szCs w:val="20"/>
                <w:color w:val="auto"/>
              </w:rPr>
            </w:pPr>
            <w:r>
              <w:rPr>
                <w:rFonts w:ascii="Arial" w:cs="Arial" w:eastAsia="Arial" w:hAnsi="Arial"/>
                <w:sz w:val="18"/>
                <w:szCs w:val="18"/>
                <w:b w:val="1"/>
                <w:bCs w:val="1"/>
                <w:color w:val="auto"/>
                <w:w w:val="92"/>
              </w:rPr>
              <w:t>Inputs (Level 2)</w:t>
            </w:r>
          </w:p>
        </w:tc>
        <w:tc>
          <w:tcPr>
            <w:tcW w:w="80" w:type="dxa"/>
            <w:vAlign w:val="bottom"/>
          </w:tcPr>
          <w:p>
            <w:pPr>
              <w:spacing w:after="0"/>
              <w:rPr>
                <w:sz w:val="20"/>
                <w:szCs w:val="20"/>
                <w:color w:val="auto"/>
              </w:rPr>
            </w:pPr>
          </w:p>
        </w:tc>
        <w:tc>
          <w:tcPr>
            <w:tcW w:w="13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8"/>
              </w:rPr>
              <w:t>Inputs (Level 3)</w:t>
            </w:r>
          </w:p>
        </w:tc>
      </w:tr>
      <w:tr>
        <w:trPr>
          <w:trHeight w:val="194"/>
        </w:trPr>
        <w:tc>
          <w:tcPr>
            <w:tcW w:w="20" w:type="dxa"/>
            <w:vAlign w:val="bottom"/>
          </w:tcPr>
          <w:p>
            <w:pPr>
              <w:spacing w:after="0"/>
              <w:rPr>
                <w:sz w:val="16"/>
                <w:szCs w:val="16"/>
                <w:color w:val="auto"/>
              </w:rPr>
            </w:pPr>
          </w:p>
        </w:tc>
        <w:tc>
          <w:tcPr>
            <w:tcW w:w="140" w:type="dxa"/>
            <w:vAlign w:val="bottom"/>
          </w:tcPr>
          <w:p>
            <w:pPr>
              <w:spacing w:after="0" w:line="195" w:lineRule="exact"/>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c>
          <w:tcPr>
            <w:tcW w:w="80" w:type="dxa"/>
            <w:vAlign w:val="bottom"/>
          </w:tcPr>
          <w:p>
            <w:pPr>
              <w:spacing w:after="0"/>
              <w:rPr>
                <w:sz w:val="16"/>
                <w:szCs w:val="16"/>
                <w:color w:val="auto"/>
              </w:rPr>
            </w:pPr>
          </w:p>
        </w:tc>
        <w:tc>
          <w:tcPr>
            <w:tcW w:w="100" w:type="dxa"/>
            <w:vAlign w:val="bottom"/>
          </w:tcPr>
          <w:p>
            <w:pPr>
              <w:jc w:val="right"/>
              <w:spacing w:after="0" w:line="195" w:lineRule="exact"/>
              <w:rPr>
                <w:sz w:val="20"/>
                <w:szCs w:val="20"/>
                <w:color w:val="auto"/>
              </w:rPr>
            </w:pPr>
            <w:r>
              <w:rPr>
                <w:rFonts w:ascii="Arial" w:cs="Arial" w:eastAsia="Arial" w:hAnsi="Arial"/>
                <w:sz w:val="18"/>
                <w:szCs w:val="18"/>
                <w:color w:val="auto"/>
                <w:w w:val="79"/>
              </w:rPr>
              <w:t>$</w:t>
            </w:r>
          </w:p>
        </w:tc>
        <w:tc>
          <w:tcPr>
            <w:tcW w:w="1260" w:type="dxa"/>
            <w:vAlign w:val="bottom"/>
          </w:tcPr>
          <w:p>
            <w:pPr>
              <w:ind w:left="98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Pr>
          <w:p>
            <w:pPr>
              <w:ind w:left="940"/>
              <w:spacing w:after="0" w:line="195"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ind w:right="10"/>
              <w:spacing w:after="0" w:line="195" w:lineRule="exact"/>
              <w:rPr>
                <w:sz w:val="20"/>
                <w:szCs w:val="20"/>
                <w:color w:val="auto"/>
              </w:rPr>
            </w:pPr>
            <w:r>
              <w:rPr>
                <w:rFonts w:ascii="Arial" w:cs="Arial" w:eastAsia="Arial" w:hAnsi="Arial"/>
                <w:sz w:val="18"/>
                <w:szCs w:val="18"/>
                <w:color w:val="auto"/>
              </w:rPr>
              <w:t>230</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15"/>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ind w:left="9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ind w:left="94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255</w:t>
            </w:r>
          </w:p>
        </w:tc>
      </w:tr>
      <w:tr>
        <w:trPr>
          <w:trHeight w:val="20"/>
        </w:trPr>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-1995805</wp:posOffset>
            </wp:positionH>
            <wp:positionV relativeFrom="paragraph">
              <wp:posOffset>-716280</wp:posOffset>
            </wp:positionV>
            <wp:extent cx="5699760" cy="1365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-443230</wp:posOffset>
            </wp:positionV>
            <wp:extent cx="5699760" cy="1365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99760" cy="136525"/>
                    </a:xfrm>
                    <a:prstGeom prst="rect">
                      <a:avLst/>
                    </a:prstGeom>
                    <a:noFill/>
                  </pic:spPr>
                </pic:pic>
              </a:graphicData>
            </a:graphic>
          </wp:anchor>
        </w:drawing>
        <w:drawing>
          <wp:anchor simplePos="0" relativeHeight="251657728" behindDoc="1" locked="0" layoutInCell="0" allowOverlap="1">
            <wp:simplePos x="0" y="0"/>
            <wp:positionH relativeFrom="column">
              <wp:posOffset>-1995805</wp:posOffset>
            </wp:positionH>
            <wp:positionV relativeFrom="paragraph">
              <wp:posOffset>-161290</wp:posOffset>
            </wp:positionV>
            <wp:extent cx="5699760" cy="1619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9976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660" w:space="620"/>
            <w:col w:w="6960"/>
          </w:cols>
          <w:pgMar w:left="320" w:top="125" w:right="339" w:bottom="1440" w:gutter="0" w:footer="0" w:header="0"/>
        </w:sectPr>
      </w:pPr>
    </w:p>
    <w:p>
      <w:pPr>
        <w:spacing w:after="0" w:line="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Deerfield Warrant liability and embedded Warrant Put Option are, and the embedded Deerfield Note Put Option was, measured at fair value on a recurring basis. As of June 30, 2021, the Deerfield Warrant liability and embedded Warrant Put Option are, and as of December 31, 2020 the Deerfield Warrant liability, embedded Warrant Put Option and the embedded Deerfield Note Conversion Feature were, reported on the unaudited condensed balance sheets in derivative and warrant liability. The Company used a Monte Carlo simulation to value the Deerfield Warrant liability, embedded Warrant Put Option and the embedded Deerfield Note Conversion Feature for all periods presented. Significant unobservable inputs used in measuring the fair value of these financial instruments included the Company’s estimated enterprise value, an estimate of the timing of a liquidity or fundamental change event and a present value discount rate. Changes in the fair value of the Deerfield Warrant liability and embedded Warrant Put Option are, and changes in the fair value of the embedded Deerfield Note Put Option were (through December 31, 2020), reflected in the unaudited condensed statements of operations for the three and six months ended June 30, 2021 and 2020 as a fair value adjustment related to derivative and warrant liability.</w:t>
      </w:r>
    </w:p>
    <w:p>
      <w:pPr>
        <w:spacing w:after="0" w:line="17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derivative liability for the Deerfield Warrant was $628,000 and $230,000 at June 30, 2021 and December 31, 2020, respectively. The derivative liability for the embedded Warrant Put Option was $38,000 and $25,000 at June 30, 2021 and December 31, 2020, respectively. The derivative liability for the Deerfield Note Conversion Feature had no value at December 31, 2020. A 10% increase in the enterprise value would result in an increase of $97,000 in the estimated fair value of the Deerfield Warrant liability and an increase of $5,000 in the estimated fair value of the embedded Warrant Put Option liability. In addition, the Company assumed a weighted-average probability of a liquidity event occurring of approximately 23% with an estimated probability-weighted value of approximately $83.3 million and a weighted-average probability of a fundamental change event occurring of approximately 28% with an estimated probability-weighted value of approximately $1.1 billion, respectively, with estimated timing in each scenario of the fourth quarter of 2022.</w:t>
      </w:r>
    </w:p>
    <w:p>
      <w:pPr>
        <w:spacing w:after="0" w:line="16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KVK Warrant liability is measured at fair value on a recurring basis. As of June 30, 2021 and December 31, 2020, the KVK Warrant liability is reported on the unaudited condensed balance sheets in derivative and warrant liability. The Company estimates the fair value of the KVK Warrant using a probability-weighted Black-Scholes option-pricing model, which requires the use of subjective assumptions, including the expected term of the warrant, the expected stock price volatility, expected dividend yield and the risk-free interest rate for the expected term of the warrant. The expected term represents the period of time the warrant is expected to be outstanding. For the KVK Warrant, the Company used an expected term equal to the contractual term of the warrant. Expected volatility is based on the Company's historical volatility since the IPO. The Company assumes no dividend yield because dividends are not expected to be paid in the near future, which is consistent with the Company’s history of not paying dividends. Changes in the fair value of the KVK Warrant liability are reflected in the unaudited condensed statements of operations for the three and six months ended June 30, 2021 and 2020 as a fair value adjustment related to derivative and warrant liability.</w:t>
      </w:r>
    </w:p>
    <w:p>
      <w:pPr>
        <w:spacing w:after="0" w:line="178" w:lineRule="exact"/>
        <w:rPr>
          <w:sz w:val="20"/>
          <w:szCs w:val="20"/>
          <w:color w:val="auto"/>
        </w:rPr>
      </w:pPr>
    </w:p>
    <w:p>
      <w:pPr>
        <w:ind w:right="260"/>
        <w:spacing w:after="0" w:line="275" w:lineRule="auto"/>
        <w:rPr>
          <w:sz w:val="20"/>
          <w:szCs w:val="20"/>
          <w:color w:val="auto"/>
        </w:rPr>
      </w:pPr>
      <w:r>
        <w:rPr>
          <w:rFonts w:ascii="Arial" w:cs="Arial" w:eastAsia="Arial" w:hAnsi="Arial"/>
          <w:sz w:val="18"/>
          <w:szCs w:val="18"/>
          <w:color w:val="auto"/>
        </w:rPr>
        <w:t>A reconciliation of the beginning and ending balances for the derivative and warrant liability measured at fair value on a recurring basis using significant unobservable inputs (Level 3) is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14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460" w:type="dxa"/>
            <w:vAlign w:val="bottom"/>
            <w:tcBorders>
              <w:bottom w:val="single" w:sz="8" w:color="auto"/>
            </w:tcBorders>
            <w:gridSpan w:val="5"/>
          </w:tcPr>
          <w:p>
            <w:pPr>
              <w:jc w:val="right"/>
              <w:ind w:right="70"/>
              <w:spacing w:after="0"/>
              <w:rPr>
                <w:sz w:val="20"/>
                <w:szCs w:val="20"/>
                <w:color w:val="auto"/>
              </w:rPr>
            </w:pPr>
            <w:r>
              <w:rPr>
                <w:rFonts w:ascii="Arial" w:cs="Arial" w:eastAsia="Arial" w:hAnsi="Arial"/>
                <w:sz w:val="18"/>
                <w:szCs w:val="18"/>
                <w:b w:val="1"/>
                <w:bCs w:val="1"/>
                <w:color w:val="auto"/>
                <w:w w:val="89"/>
              </w:rPr>
              <w:t>Three months ended June 30,</w:t>
            </w: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30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8"/>
                <w:szCs w:val="18"/>
                <w:b w:val="1"/>
                <w:bCs w:val="1"/>
                <w:color w:val="auto"/>
                <w:w w:val="87"/>
              </w:rPr>
              <w:t>Six months ended June 30,</w:t>
            </w:r>
          </w:p>
        </w:tc>
        <w:tc>
          <w:tcPr>
            <w:tcW w:w="1120" w:type="dxa"/>
            <w:vAlign w:val="bottom"/>
          </w:tcPr>
          <w:p>
            <w:pPr>
              <w:spacing w:after="0"/>
              <w:rPr>
                <w:sz w:val="20"/>
                <w:szCs w:val="20"/>
                <w:color w:val="auto"/>
              </w:rPr>
            </w:pPr>
          </w:p>
        </w:tc>
      </w:tr>
      <w:tr>
        <w:trPr>
          <w:trHeight w:val="208"/>
        </w:trPr>
        <w:tc>
          <w:tcPr>
            <w:tcW w:w="114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r>
      <w:tr>
        <w:trPr>
          <w:trHeight w:val="208"/>
        </w:trPr>
        <w:tc>
          <w:tcPr>
            <w:tcW w:w="114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beginning of period</w:t>
            </w:r>
          </w:p>
        </w:tc>
        <w:tc>
          <w:tcPr>
            <w:tcW w:w="16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292</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96</w:t>
            </w: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3220" w:type="dxa"/>
            <w:vAlign w:val="bottom"/>
          </w:tcPr>
          <w:p>
            <w:pPr>
              <w:ind w:left="160"/>
              <w:spacing w:after="0"/>
              <w:rPr>
                <w:sz w:val="20"/>
                <w:szCs w:val="20"/>
                <w:color w:val="auto"/>
              </w:rPr>
            </w:pPr>
            <w:r>
              <w:rPr>
                <w:rFonts w:ascii="Arial" w:cs="Arial" w:eastAsia="Arial" w:hAnsi="Arial"/>
                <w:sz w:val="18"/>
                <w:szCs w:val="18"/>
                <w:color w:val="auto"/>
              </w:rPr>
              <w:t>Adjustment to fair value</w:t>
            </w:r>
          </w:p>
        </w:tc>
        <w:tc>
          <w:tcPr>
            <w:tcW w:w="82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374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8"/>
                <w:szCs w:val="18"/>
                <w:color w:val="auto"/>
              </w:rPr>
            </w:pPr>
          </w:p>
        </w:tc>
      </w:tr>
      <w:tr>
        <w:trPr>
          <w:trHeight w:val="248"/>
        </w:trPr>
        <w:tc>
          <w:tcPr>
            <w:tcW w:w="1140" w:type="dxa"/>
            <w:vAlign w:val="bottom"/>
          </w:tcPr>
          <w:p>
            <w:pPr>
              <w:spacing w:after="0"/>
              <w:rPr>
                <w:sz w:val="21"/>
                <w:szCs w:val="21"/>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Balance as of end of period</w:t>
            </w:r>
          </w:p>
        </w:tc>
        <w:tc>
          <w:tcPr>
            <w:tcW w:w="160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666</w:t>
            </w: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666</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120" w:type="dxa"/>
            <w:vAlign w:val="bottom"/>
          </w:tcPr>
          <w:p>
            <w:pPr>
              <w:spacing w:after="0"/>
              <w:rPr>
                <w:sz w:val="21"/>
                <w:szCs w:val="21"/>
                <w:color w:val="auto"/>
              </w:rPr>
            </w:pPr>
          </w:p>
        </w:tc>
      </w:tr>
      <w:tr>
        <w:trPr>
          <w:trHeight w:val="411"/>
        </w:trPr>
        <w:tc>
          <w:tcPr>
            <w:tcW w:w="1140" w:type="dxa"/>
            <w:vAlign w:val="bottom"/>
          </w:tcPr>
          <w:p>
            <w:pPr>
              <w:spacing w:after="0"/>
              <w:rPr>
                <w:sz w:val="24"/>
                <w:szCs w:val="24"/>
                <w:color w:val="auto"/>
              </w:rPr>
            </w:pPr>
          </w:p>
        </w:tc>
        <w:tc>
          <w:tcPr>
            <w:tcW w:w="3220" w:type="dxa"/>
            <w:vAlign w:val="bottom"/>
            <w:tcBorders>
              <w:top w:val="single" w:sz="8" w:color="CCEEFF"/>
            </w:tcBorders>
          </w:tcPr>
          <w:p>
            <w:pPr>
              <w:spacing w:after="0"/>
              <w:rPr>
                <w:sz w:val="24"/>
                <w:szCs w:val="24"/>
                <w:color w:val="auto"/>
              </w:rPr>
            </w:pPr>
          </w:p>
        </w:tc>
        <w:tc>
          <w:tcPr>
            <w:tcW w:w="820" w:type="dxa"/>
            <w:vAlign w:val="bottom"/>
            <w:tcBorders>
              <w:top w:val="single" w:sz="8" w:color="CCEEFF"/>
            </w:tcBorders>
          </w:tcPr>
          <w:p>
            <w:pPr>
              <w:spacing w:after="0"/>
              <w:rPr>
                <w:sz w:val="24"/>
                <w:szCs w:val="24"/>
                <w:color w:val="auto"/>
              </w:rPr>
            </w:pPr>
          </w:p>
        </w:tc>
        <w:tc>
          <w:tcPr>
            <w:tcW w:w="78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rPr>
              <w:t>29</w:t>
            </w:r>
          </w:p>
        </w:tc>
        <w:tc>
          <w:tcPr>
            <w:tcW w:w="4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5" w:right="339" w:bottom="1440" w:gutter="0" w:footer="0" w:header="0"/>
          <w:type w:val="continuous"/>
        </w:sectPr>
      </w:pPr>
    </w:p>
    <w:bookmarkStart w:id="32" w:name="page33"/>
    <w:bookmarkEnd w:id="32"/>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Net Income (Loss) Per Share</w:t>
      </w:r>
    </w:p>
    <w:p>
      <w:pPr>
        <w:spacing w:after="0" w:line="22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the two-class method, for periods with net income, basic net income per share of common stock is computed by dividing the net income attributable to shares of common stock by the weighted average number of shares of common stock outstanding during the period. Net income attributable to shares of common stock is computed by subtracting from net income the portion of current period earnings that participating securities would have been entitled to receive pursuant to their dividend rights had all of the period’s earnings been distributed. No such adjustment to earnings is made during periods with a net loss as the holders of the participating securities have no obligation to fund losses. Diluted net income (loss) per share of common stock is computed under the two-class method by using the weighted average number of shares of common stock outstanding plus the potential dilutive effects of stock options and warrants. In addition, the Company analyzes the potential dilutive effect of the outstanding convertible securities under the if-converted method when calculating diluted income (loss) per share of common stock in which it is assumed that the outstanding convertible securities convert into common stock at the beginning of the period or date of issuance, if the convertible security was issued during the period. The Company reports the more dilutive of the approaches (two-class or if-converted) as its diluted net income (loss) per share of common stock during the period.</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Diluted net income (loss) per share of common stock is the same as basic net income (loss) per share of common stock for the three months ended June 30, 2021 and 2020 because the effects of potentially dilutive items were anti-dilutive for the respective periods. The following securities, presented on a common stock equivalent basis, have been excluded from the calculation of weighted average number of shares of common stock outstanding because their effect is anti-dilutive:</w:t>
      </w:r>
    </w:p>
    <w:p>
      <w:pPr>
        <w:spacing w:after="0" w:line="181"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24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b w:val="1"/>
                <w:bCs w:val="1"/>
                <w:color w:val="auto"/>
                <w:w w:val="89"/>
              </w:rPr>
              <w:t>Three months ended June 30,</w:t>
            </w:r>
          </w:p>
        </w:tc>
        <w:tc>
          <w:tcPr>
            <w:tcW w:w="100" w:type="dxa"/>
            <w:vAlign w:val="bottom"/>
          </w:tcPr>
          <w:p>
            <w:pPr>
              <w:spacing w:after="0"/>
              <w:rPr>
                <w:sz w:val="20"/>
                <w:szCs w:val="20"/>
                <w:color w:val="auto"/>
              </w:rPr>
            </w:pPr>
          </w:p>
        </w:tc>
        <w:tc>
          <w:tcPr>
            <w:tcW w:w="23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tcPr>
          <w:p>
            <w:pPr>
              <w:spacing w:after="0"/>
              <w:rPr>
                <w:sz w:val="18"/>
                <w:szCs w:val="18"/>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11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Deerfield Convertible Note</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78,417</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78,417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Conversion of January 2020 Note</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33,469</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33,469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 of December 2019 Notes*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929,169</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929,169</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Awards under equity incentive plans</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414,869</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355,120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414,869</w:t>
            </w: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356,057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4,584,889</w:t>
            </w:r>
          </w:p>
        </w:tc>
        <w:tc>
          <w:tcPr>
            <w:tcW w:w="1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151,442</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4,584,889</w:t>
            </w: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151,442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2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Total securities excluded from the calculation of</w:t>
            </w: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040" w:type="dxa"/>
            <w:vAlign w:val="bottom"/>
            <w:gridSpan w:val="2"/>
          </w:tcPr>
          <w:p>
            <w:pPr>
              <w:spacing w:after="0"/>
              <w:rPr>
                <w:sz w:val="20"/>
                <w:szCs w:val="20"/>
                <w:color w:val="auto"/>
              </w:rPr>
            </w:pPr>
            <w:r>
              <w:rPr>
                <w:rFonts w:ascii="Arial" w:cs="Arial" w:eastAsia="Arial" w:hAnsi="Arial"/>
                <w:sz w:val="18"/>
                <w:szCs w:val="18"/>
                <w:color w:val="auto"/>
                <w:w w:val="93"/>
              </w:rPr>
              <w:t>weighted average number of shares of common stock</w:t>
            </w:r>
          </w:p>
        </w:tc>
        <w:tc>
          <w:tcPr>
            <w:tcW w:w="1180" w:type="dxa"/>
            <w:vAlign w:val="bottom"/>
            <w:vMerge w:val="restart"/>
          </w:tcPr>
          <w:p>
            <w:pPr>
              <w:jc w:val="right"/>
              <w:ind w:right="10"/>
              <w:spacing w:after="0"/>
              <w:rPr>
                <w:sz w:val="20"/>
                <w:szCs w:val="20"/>
                <w:color w:val="auto"/>
              </w:rPr>
            </w:pPr>
            <w:r>
              <w:rPr>
                <w:rFonts w:ascii="Arial" w:cs="Arial" w:eastAsia="Arial" w:hAnsi="Arial"/>
                <w:sz w:val="18"/>
                <w:szCs w:val="18"/>
                <w:color w:val="auto"/>
              </w:rPr>
              <w:t>4,999,758</w:t>
            </w:r>
          </w:p>
        </w:tc>
        <w:tc>
          <w:tcPr>
            <w:tcW w:w="128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1,547,617</w:t>
            </w:r>
          </w:p>
        </w:tc>
        <w:tc>
          <w:tcPr>
            <w:tcW w:w="1240" w:type="dxa"/>
            <w:vAlign w:val="bottom"/>
            <w:gridSpan w:val="2"/>
            <w:vMerge w:val="restart"/>
          </w:tcPr>
          <w:p>
            <w:pPr>
              <w:jc w:val="right"/>
              <w:spacing w:after="0"/>
              <w:rPr>
                <w:sz w:val="20"/>
                <w:szCs w:val="20"/>
                <w:color w:val="auto"/>
              </w:rPr>
            </w:pPr>
            <w:r>
              <w:rPr>
                <w:rFonts w:ascii="Arial" w:cs="Arial" w:eastAsia="Arial" w:hAnsi="Arial"/>
                <w:sz w:val="18"/>
                <w:szCs w:val="18"/>
                <w:color w:val="auto"/>
              </w:rPr>
              <w:t>4,999,758</w:t>
            </w:r>
          </w:p>
        </w:tc>
        <w:tc>
          <w:tcPr>
            <w:tcW w:w="124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1,548,554</w:t>
            </w:r>
          </w:p>
        </w:tc>
        <w:tc>
          <w:tcPr>
            <w:tcW w:w="0" w:type="dxa"/>
            <w:vAlign w:val="bottom"/>
          </w:tcPr>
          <w:p>
            <w:pPr>
              <w:spacing w:after="0"/>
              <w:rPr>
                <w:sz w:val="1"/>
                <w:szCs w:val="1"/>
                <w:color w:val="auto"/>
              </w:rPr>
            </w:pPr>
          </w:p>
        </w:tc>
      </w:tr>
      <w:tr>
        <w:trPr>
          <w:trHeight w:val="189"/>
        </w:trPr>
        <w:tc>
          <w:tcPr>
            <w:tcW w:w="4040" w:type="dxa"/>
            <w:vAlign w:val="bottom"/>
            <w:gridSpan w:val="2"/>
          </w:tcPr>
          <w:p>
            <w:pPr>
              <w:spacing w:after="0" w:line="189" w:lineRule="exact"/>
              <w:rPr>
                <w:sz w:val="20"/>
                <w:szCs w:val="20"/>
                <w:color w:val="auto"/>
              </w:rPr>
            </w:pPr>
            <w:r>
              <w:rPr>
                <w:rFonts w:ascii="Arial" w:cs="Arial" w:eastAsia="Arial" w:hAnsi="Arial"/>
                <w:sz w:val="18"/>
                <w:szCs w:val="18"/>
                <w:color w:val="auto"/>
              </w:rPr>
              <w:t>outstanding</w:t>
            </w:r>
          </w:p>
        </w:tc>
        <w:tc>
          <w:tcPr>
            <w:tcW w:w="118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20" w:type="dxa"/>
            <w:vAlign w:val="bottom"/>
          </w:tcPr>
          <w:p>
            <w:pPr>
              <w:spacing w:after="0"/>
              <w:rPr>
                <w:sz w:val="16"/>
                <w:szCs w:val="16"/>
                <w:color w:val="auto"/>
              </w:rPr>
            </w:pPr>
          </w:p>
        </w:tc>
        <w:tc>
          <w:tcPr>
            <w:tcW w:w="402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ind w:left="1140" w:right="1140" w:hanging="9"/>
        <w:spacing w:after="0" w:line="321" w:lineRule="auto"/>
        <w:tabs>
          <w:tab w:leader="none" w:pos="1287"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Inclusive of 324,312 shares of Common Stock issuable (i) in exchange of the Deerfield Optional Conversion Feature, or (ii) upon conversion of the Series B-2 Preferred Stock issuable in exchange of the Deerfield Optional Conversion Feature.</w:t>
      </w:r>
    </w:p>
    <w:p>
      <w:pPr>
        <w:spacing w:after="0" w:line="13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 reconciliation from net income (loss) to basic net income (loss) per share of common stock, basic net (loss) income attributable to common stockholders per share of common stock and diluted net (loss) income attributable to common stockholders per share of common stock for the three and six months ended June 30, 2021 and 2020 is as follows (in thousands):</w:t>
      </w:r>
    </w:p>
    <w:p>
      <w:pPr>
        <w:spacing w:after="0" w:line="178"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66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0"/>
              </w:rPr>
              <w:t>Three months ended June 30,</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4"/>
          </w:tcPr>
          <w:p>
            <w:pPr>
              <w:jc w:val="right"/>
              <w:ind w:right="310"/>
              <w:spacing w:after="0"/>
              <w:rPr>
                <w:sz w:val="20"/>
                <w:szCs w:val="20"/>
                <w:color w:val="auto"/>
              </w:rPr>
            </w:pPr>
            <w:r>
              <w:rPr>
                <w:rFonts w:ascii="Arial" w:cs="Arial" w:eastAsia="Arial" w:hAnsi="Arial"/>
                <w:sz w:val="18"/>
                <w:szCs w:val="18"/>
                <w:b w:val="1"/>
                <w:bCs w:val="1"/>
                <w:color w:val="auto"/>
                <w:w w:val="92"/>
              </w:rPr>
              <w:t>Six months ended June 30,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Basic net income (loss) per share of</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ind w:left="140"/>
              <w:spacing w:after="0" w:line="201" w:lineRule="exact"/>
              <w:rPr>
                <w:sz w:val="20"/>
                <w:szCs w:val="20"/>
                <w:color w:val="auto"/>
              </w:rPr>
            </w:pPr>
            <w:r>
              <w:rPr>
                <w:rFonts w:ascii="Arial" w:cs="Arial" w:eastAsia="Arial" w:hAnsi="Arial"/>
                <w:sz w:val="18"/>
                <w:szCs w:val="18"/>
                <w:color w:val="auto"/>
              </w:rPr>
              <w:t>Less: Net income attributable to</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participating securities</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Undistributed net income (loss), basic</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5,365</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(4,895)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29,175</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3,948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24,187</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common stock outstanding, basic</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Basic net income (loss) per share of</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0.18</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(0.17)</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common stock</w:t>
            </w:r>
          </w:p>
        </w:tc>
        <w:tc>
          <w:tcPr>
            <w:tcW w:w="22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vMerge w:val="continue"/>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w w:val="94"/>
              </w:rPr>
              <w:t>Less: Dividends declared or accumulated</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(16,898)</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(54,342)</w:t>
            </w: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1"/>
              </w:rPr>
              <w:t>Net (loss) income attributable to common</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(10,695)</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859</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(58,435)</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w:t>
            </w:r>
          </w:p>
        </w:tc>
        <w:tc>
          <w:tcPr>
            <w:tcW w:w="22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Borders>
              <w:top w:val="single" w:sz="8" w:color="CCEEFF"/>
            </w:tcBorders>
          </w:tcPr>
          <w:p>
            <w:pPr>
              <w:ind w:left="140"/>
              <w:spacing w:after="0" w:line="195" w:lineRule="exact"/>
              <w:rPr>
                <w:sz w:val="20"/>
                <w:szCs w:val="20"/>
                <w:color w:val="auto"/>
              </w:rPr>
            </w:pPr>
            <w:r>
              <w:rPr>
                <w:rFonts w:ascii="Arial" w:cs="Arial" w:eastAsia="Arial" w:hAnsi="Arial"/>
                <w:sz w:val="18"/>
                <w:szCs w:val="18"/>
                <w:color w:val="auto"/>
              </w:rPr>
              <w:t>Less: Net income attributable to</w:t>
            </w: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(838)</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participating securities</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Undistributed net (loss) income</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common stockholders,</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(11,533)</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834</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(58,435)</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(4,895)</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w:t>
            </w:r>
          </w:p>
        </w:tc>
        <w:tc>
          <w:tcPr>
            <w:tcW w:w="220" w:type="dxa"/>
            <w:vAlign w:val="bottom"/>
            <w:gridSpan w:val="2"/>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36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34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6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29,175</w:t>
            </w: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3,948</w:t>
            </w: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24,187</w:t>
            </w: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3,476</w:t>
            </w:r>
          </w:p>
        </w:tc>
        <w:tc>
          <w:tcPr>
            <w:tcW w:w="0" w:type="dxa"/>
            <w:vAlign w:val="bottom"/>
          </w:tcPr>
          <w:p>
            <w:pPr>
              <w:spacing w:after="0"/>
              <w:rPr>
                <w:sz w:val="1"/>
                <w:szCs w:val="1"/>
                <w:color w:val="auto"/>
              </w:rPr>
            </w:pPr>
          </w:p>
        </w:tc>
      </w:tr>
      <w:tr>
        <w:trPr>
          <w:trHeight w:val="216"/>
        </w:trPr>
        <w:tc>
          <w:tcPr>
            <w:tcW w:w="3280" w:type="dxa"/>
            <w:vAlign w:val="bottom"/>
            <w:gridSpan w:val="2"/>
          </w:tcPr>
          <w:p>
            <w:pPr>
              <w:spacing w:after="0"/>
              <w:rPr>
                <w:sz w:val="20"/>
                <w:szCs w:val="20"/>
                <w:color w:val="auto"/>
              </w:rPr>
            </w:pPr>
            <w:r>
              <w:rPr>
                <w:rFonts w:ascii="Arial" w:cs="Arial" w:eastAsia="Arial" w:hAnsi="Arial"/>
                <w:sz w:val="18"/>
                <w:szCs w:val="18"/>
                <w:color w:val="auto"/>
              </w:rPr>
              <w:t>common stock outstanding, basic</w:t>
            </w:r>
          </w:p>
        </w:tc>
        <w:tc>
          <w:tcPr>
            <w:tcW w:w="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26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9"/>
              </w:rPr>
              <w:t>Basic net (loss) income attributable to</w:t>
            </w:r>
          </w:p>
        </w:tc>
        <w:tc>
          <w:tcPr>
            <w:tcW w:w="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stockholders  per  share  of</w:t>
            </w:r>
          </w:p>
        </w:tc>
        <w:tc>
          <w:tcPr>
            <w:tcW w:w="2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3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0.21</w:t>
            </w:r>
          </w:p>
        </w:tc>
        <w:tc>
          <w:tcPr>
            <w:tcW w:w="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(2.42)</w:t>
            </w:r>
          </w:p>
        </w:tc>
        <w:tc>
          <w:tcPr>
            <w:tcW w:w="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shd w:val="clear" w:color="auto" w:fill="CCEEFF"/>
          </w:tcPr>
          <w:p>
            <w:pPr>
              <w:spacing w:after="0" w:line="193" w:lineRule="exact"/>
              <w:rPr>
                <w:sz w:val="20"/>
                <w:szCs w:val="20"/>
                <w:color w:val="auto"/>
              </w:rPr>
            </w:pPr>
            <w:r>
              <w:rPr>
                <w:rFonts w:ascii="Arial" w:cs="Arial" w:eastAsia="Arial" w:hAnsi="Arial"/>
                <w:sz w:val="18"/>
                <w:szCs w:val="18"/>
                <w:b w:val="1"/>
                <w:bCs w:val="1"/>
                <w:color w:val="auto"/>
              </w:rPr>
              <w:t>common stock</w:t>
            </w:r>
          </w:p>
        </w:tc>
        <w:tc>
          <w:tcPr>
            <w:tcW w:w="220" w:type="dxa"/>
            <w:vAlign w:val="bottom"/>
            <w:gridSpan w:val="2"/>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360" w:type="dxa"/>
            <w:vAlign w:val="bottom"/>
            <w:gridSpan w:val="2"/>
            <w:vMerge w:val="continue"/>
            <w:shd w:val="clear" w:color="auto" w:fill="CCEEFF"/>
          </w:tcPr>
          <w:p>
            <w:pPr>
              <w:spacing w:after="0"/>
              <w:rPr>
                <w:sz w:val="20"/>
                <w:szCs w:val="20"/>
                <w:color w:val="auto"/>
              </w:rPr>
            </w:pPr>
          </w:p>
        </w:tc>
        <w:tc>
          <w:tcPr>
            <w:tcW w:w="1100" w:type="dxa"/>
            <w:vAlign w:val="bottom"/>
            <w:vMerge w:val="continue"/>
            <w:shd w:val="clear" w:color="auto" w:fill="CCEEFF"/>
          </w:tcPr>
          <w:p>
            <w:pPr>
              <w:spacing w:after="0"/>
              <w:rPr>
                <w:sz w:val="20"/>
                <w:szCs w:val="20"/>
                <w:color w:val="auto"/>
              </w:rPr>
            </w:pPr>
          </w:p>
        </w:tc>
        <w:tc>
          <w:tcPr>
            <w:tcW w:w="260" w:type="dxa"/>
            <w:vAlign w:val="bottom"/>
            <w:gridSpan w:val="2"/>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340" w:type="dxa"/>
            <w:vAlign w:val="bottom"/>
            <w:gridSpan w:val="2"/>
            <w:vMerge w:val="continue"/>
            <w:shd w:val="clear" w:color="auto" w:fill="CCEEFF"/>
          </w:tcPr>
          <w:p>
            <w:pPr>
              <w:spacing w:after="0"/>
              <w:rPr>
                <w:sz w:val="20"/>
                <w:szCs w:val="20"/>
                <w:color w:val="auto"/>
              </w:rPr>
            </w:pPr>
          </w:p>
        </w:tc>
        <w:tc>
          <w:tcPr>
            <w:tcW w:w="10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vMerge w:val="restart"/>
          </w:tcPr>
          <w:p>
            <w:pPr>
              <w:spacing w:after="0"/>
              <w:rPr>
                <w:sz w:val="16"/>
                <w:szCs w:val="16"/>
                <w:color w:val="auto"/>
              </w:rPr>
            </w:pPr>
          </w:p>
        </w:tc>
        <w:tc>
          <w:tcPr>
            <w:tcW w:w="326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line="197" w:lineRule="exact"/>
              <w:rPr>
                <w:sz w:val="20"/>
                <w:szCs w:val="20"/>
                <w:color w:val="auto"/>
              </w:rPr>
            </w:pPr>
            <w:r>
              <w:rPr>
                <w:rFonts w:ascii="Arial" w:cs="Arial" w:eastAsia="Arial" w:hAnsi="Arial"/>
                <w:sz w:val="18"/>
                <w:szCs w:val="18"/>
                <w:b w:val="1"/>
                <w:bCs w:val="1"/>
                <w:color w:val="auto"/>
              </w:rPr>
              <w:t>Diluted net (loss) income per share of</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common stock:</w:t>
            </w:r>
          </w:p>
        </w:tc>
        <w:tc>
          <w:tcPr>
            <w:tcW w:w="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3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32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Undistributed net (loss) income attributable</w:t>
            </w: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shd w:val="clear" w:color="auto" w:fill="CCEEFF"/>
          </w:tcPr>
          <w:p>
            <w:pPr>
              <w:spacing w:after="0"/>
              <w:rPr>
                <w:sz w:val="20"/>
                <w:szCs w:val="20"/>
                <w:color w:val="auto"/>
              </w:rPr>
            </w:pPr>
            <w:r>
              <w:rPr>
                <w:rFonts w:ascii="Arial" w:cs="Arial" w:eastAsia="Arial" w:hAnsi="Arial"/>
                <w:sz w:val="18"/>
                <w:szCs w:val="18"/>
                <w:color w:val="auto"/>
              </w:rPr>
              <w:t>to common stockholders</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(11,533)</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(58,435)</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(4,895)</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60" w:type="dxa"/>
            <w:vAlign w:val="bottom"/>
          </w:tcPr>
          <w:p>
            <w:pPr>
              <w:ind w:left="140"/>
              <w:spacing w:after="0" w:line="201" w:lineRule="exact"/>
              <w:rPr>
                <w:sz w:val="20"/>
                <w:szCs w:val="20"/>
                <w:color w:val="auto"/>
              </w:rPr>
            </w:pPr>
            <w:r>
              <w:rPr>
                <w:rFonts w:ascii="Arial" w:cs="Arial" w:eastAsia="Arial" w:hAnsi="Arial"/>
                <w:sz w:val="18"/>
                <w:szCs w:val="18"/>
                <w:color w:val="auto"/>
              </w:rPr>
              <w:t>Less: Fair value adjustment income</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260" w:type="dxa"/>
            <w:vAlign w:val="bottom"/>
          </w:tcPr>
          <w:p>
            <w:pPr>
              <w:ind w:left="140"/>
              <w:spacing w:after="0"/>
              <w:rPr>
                <w:sz w:val="20"/>
                <w:szCs w:val="20"/>
                <w:color w:val="auto"/>
              </w:rPr>
            </w:pPr>
            <w:r>
              <w:rPr>
                <w:rFonts w:ascii="Arial" w:cs="Arial" w:eastAsia="Arial" w:hAnsi="Arial"/>
                <w:sz w:val="18"/>
                <w:szCs w:val="18"/>
                <w:color w:val="auto"/>
              </w:rPr>
              <w:t>related to Deerfield Warrant liability</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Fair value adjustment income</w:t>
            </w: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32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1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1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60" w:type="dxa"/>
            <w:vAlign w:val="bottom"/>
            <w:shd w:val="clear" w:color="auto" w:fill="CCEEFF"/>
          </w:tcPr>
          <w:p>
            <w:pPr>
              <w:spacing w:after="0"/>
              <w:rPr>
                <w:sz w:val="5"/>
                <w:szCs w:val="5"/>
                <w:color w:val="auto"/>
              </w:rPr>
            </w:pPr>
          </w:p>
        </w:tc>
        <w:tc>
          <w:tcPr>
            <w:tcW w:w="10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ectPr>
          <w:pgSz w:w="11900" w:h="16900" w:orient="portrait"/>
          <w:cols w:equalWidth="0" w:num="1">
            <w:col w:w="11240"/>
          </w:cols>
          <w:pgMar w:left="320" w:top="125" w:right="3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5"/>
              </w:rPr>
              <w:t>related to embedded Warrant Put Option</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Less: Fair value adjustment expense</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w w:val="97"/>
              </w:rPr>
              <w:t>(income) related to KVK Warrant liability</w:t>
            </w: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rPr>
              <w:t>Undistributed net (loss) income</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attributable to common stockholders,</w:t>
            </w:r>
          </w:p>
        </w:tc>
        <w:tc>
          <w:tcPr>
            <w:tcW w:w="460" w:type="dxa"/>
            <w:vAlign w:val="bottom"/>
            <w:gridSpan w:val="2"/>
            <w:vMerge w:val="restart"/>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(11,533)</w:t>
            </w:r>
          </w:p>
        </w:tc>
        <w:tc>
          <w:tcPr>
            <w:tcW w:w="560" w:type="dxa"/>
            <w:vAlign w:val="bottom"/>
            <w:gridSpan w:val="2"/>
            <w:vMerge w:val="restart"/>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837</w:t>
            </w:r>
          </w:p>
        </w:tc>
        <w:tc>
          <w:tcPr>
            <w:tcW w:w="4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(58,435)</w:t>
            </w:r>
          </w:p>
        </w:tc>
        <w:tc>
          <w:tcPr>
            <w:tcW w:w="520" w:type="dxa"/>
            <w:vAlign w:val="bottom"/>
            <w:gridSpan w:val="2"/>
            <w:vMerge w:val="restart"/>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(4,967)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w:t>
            </w:r>
          </w:p>
        </w:tc>
        <w:tc>
          <w:tcPr>
            <w:tcW w:w="460" w:type="dxa"/>
            <w:vAlign w:val="bottom"/>
            <w:gridSpan w:val="2"/>
            <w:vMerge w:val="continue"/>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56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1140" w:type="dxa"/>
            <w:vAlign w:val="bottom"/>
          </w:tcPr>
          <w:p>
            <w:pPr>
              <w:spacing w:after="0"/>
              <w:rPr>
                <w:sz w:val="16"/>
                <w:szCs w:val="16"/>
                <w:color w:val="auto"/>
              </w:rPr>
            </w:pPr>
          </w:p>
        </w:tc>
        <w:tc>
          <w:tcPr>
            <w:tcW w:w="32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Weighted average number of shares of</w:t>
            </w:r>
          </w:p>
        </w:tc>
        <w:tc>
          <w:tcPr>
            <w:tcW w:w="40" w:type="dxa"/>
            <w:vAlign w:val="bottom"/>
            <w:tcBorders>
              <w:top w:val="single" w:sz="8" w:color="CCEEFF"/>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3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420" w:type="dxa"/>
            <w:vAlign w:val="bottom"/>
            <w:gridSpan w:val="2"/>
          </w:tcPr>
          <w:p>
            <w:pPr>
              <w:ind w:left="1140"/>
              <w:spacing w:after="0"/>
              <w:rPr>
                <w:sz w:val="20"/>
                <w:szCs w:val="20"/>
                <w:color w:val="auto"/>
              </w:rPr>
            </w:pPr>
            <w:r>
              <w:rPr>
                <w:rFonts w:ascii="Arial" w:cs="Arial" w:eastAsia="Arial" w:hAnsi="Arial"/>
                <w:sz w:val="18"/>
                <w:szCs w:val="18"/>
                <w:color w:val="auto"/>
              </w:rPr>
              <w:t>common stock outstanding, basic</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29,175</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3,948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24,187</w:t>
            </w:r>
          </w:p>
        </w:tc>
        <w:tc>
          <w:tcPr>
            <w:tcW w:w="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3,476</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Dilutive effect of awards under equity</w:t>
            </w:r>
          </w:p>
        </w:tc>
        <w:tc>
          <w:tcPr>
            <w:tcW w:w="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incentive plans</w:t>
            </w:r>
          </w:p>
        </w:tc>
        <w:tc>
          <w:tcPr>
            <w:tcW w:w="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Dilutive effect of Deerfield Warrant</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2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effect of KVK Warrant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1140" w:type="dxa"/>
            <w:vAlign w:val="bottom"/>
          </w:tcPr>
          <w:p>
            <w:pPr>
              <w:spacing w:after="0"/>
              <w:rPr>
                <w:sz w:val="17"/>
                <w:szCs w:val="17"/>
                <w:color w:val="auto"/>
              </w:rPr>
            </w:pPr>
          </w:p>
        </w:tc>
        <w:tc>
          <w:tcPr>
            <w:tcW w:w="3280" w:type="dxa"/>
            <w:vAlign w:val="bottom"/>
          </w:tcPr>
          <w:p>
            <w:pPr>
              <w:ind w:left="160"/>
              <w:spacing w:after="0" w:line="201" w:lineRule="exact"/>
              <w:rPr>
                <w:sz w:val="20"/>
                <w:szCs w:val="20"/>
                <w:color w:val="auto"/>
              </w:rPr>
            </w:pPr>
            <w:r>
              <w:rPr>
                <w:rFonts w:ascii="Arial" w:cs="Arial" w:eastAsia="Arial" w:hAnsi="Arial"/>
                <w:sz w:val="18"/>
                <w:szCs w:val="18"/>
                <w:color w:val="auto"/>
              </w:rPr>
              <w:t>Dilutive effect of other common stock</w:t>
            </w: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6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280" w:type="dxa"/>
            <w:vAlign w:val="bottom"/>
          </w:tcPr>
          <w:p>
            <w:pPr>
              <w:ind w:left="16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shd w:val="clear" w:color="auto" w:fill="CCEEFF"/>
          </w:tcPr>
          <w:p>
            <w:pPr>
              <w:spacing w:after="0" w:line="190" w:lineRule="exact"/>
              <w:rPr>
                <w:sz w:val="20"/>
                <w:szCs w:val="20"/>
                <w:color w:val="auto"/>
              </w:rPr>
            </w:pPr>
            <w:r>
              <w:rPr>
                <w:rFonts w:ascii="Arial" w:cs="Arial" w:eastAsia="Arial" w:hAnsi="Arial"/>
                <w:sz w:val="18"/>
                <w:szCs w:val="18"/>
                <w:b w:val="1"/>
                <w:bCs w:val="1"/>
                <w:color w:val="auto"/>
                <w:w w:val="98"/>
              </w:rPr>
              <w:t>Weighted average number of shares of</w:t>
            </w: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29,175</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3,948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24,187</w:t>
            </w: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9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3,476</w:t>
            </w: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140" w:type="dxa"/>
            <w:vAlign w:val="bottom"/>
          </w:tcPr>
          <w:p>
            <w:pPr>
              <w:spacing w:after="0"/>
              <w:rPr>
                <w:sz w:val="19"/>
                <w:szCs w:val="19"/>
                <w:color w:val="auto"/>
              </w:rPr>
            </w:pPr>
          </w:p>
        </w:tc>
        <w:tc>
          <w:tcPr>
            <w:tcW w:w="3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outstanding, diluted</w:t>
            </w:r>
          </w:p>
        </w:tc>
        <w:tc>
          <w:tcPr>
            <w:tcW w:w="4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vMerge w:val="continue"/>
            <w:shd w:val="clear" w:color="auto" w:fill="CCEEFF"/>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3280" w:type="dxa"/>
            <w:vAlign w:val="bottom"/>
          </w:tcPr>
          <w:p>
            <w:pPr>
              <w:spacing w:after="0" w:line="190" w:lineRule="exact"/>
              <w:rPr>
                <w:sz w:val="20"/>
                <w:szCs w:val="20"/>
                <w:color w:val="auto"/>
              </w:rPr>
            </w:pPr>
            <w:r>
              <w:rPr>
                <w:rFonts w:ascii="Arial" w:cs="Arial" w:eastAsia="Arial" w:hAnsi="Arial"/>
                <w:sz w:val="18"/>
                <w:szCs w:val="18"/>
                <w:b w:val="1"/>
                <w:bCs w:val="1"/>
                <w:color w:val="auto"/>
                <w:w w:val="96"/>
              </w:rPr>
              <w:t>Diluted net (loss) income attributable to</w:t>
            </w: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20" w:type="dxa"/>
            <w:vAlign w:val="bottom"/>
            <w:gridSpan w:val="2"/>
          </w:tcPr>
          <w:p>
            <w:pPr>
              <w:ind w:left="1140"/>
              <w:spacing w:after="0"/>
              <w:rPr>
                <w:sz w:val="20"/>
                <w:szCs w:val="20"/>
                <w:color w:val="auto"/>
              </w:rPr>
            </w:pPr>
            <w:r>
              <w:rPr>
                <w:rFonts w:ascii="Arial" w:cs="Arial" w:eastAsia="Arial" w:hAnsi="Arial"/>
                <w:sz w:val="18"/>
                <w:szCs w:val="18"/>
                <w:b w:val="1"/>
                <w:bCs w:val="1"/>
                <w:color w:val="auto"/>
              </w:rPr>
              <w:t>common  stockholders  per  share  of</w:t>
            </w:r>
          </w:p>
        </w:tc>
        <w:tc>
          <w:tcPr>
            <w:tcW w:w="46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9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(0.40)</w:t>
            </w:r>
          </w:p>
        </w:tc>
        <w:tc>
          <w:tcPr>
            <w:tcW w:w="560" w:type="dxa"/>
            <w:vAlign w:val="bottom"/>
            <w:gridSpan w:val="2"/>
            <w:vMerge w:val="restart"/>
          </w:tcPr>
          <w:p>
            <w:pPr>
              <w:jc w:val="right"/>
              <w:ind w:right="38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0.21</w:t>
            </w:r>
          </w:p>
        </w:tc>
        <w:tc>
          <w:tcPr>
            <w:tcW w:w="46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(2.42)</w:t>
            </w:r>
          </w:p>
        </w:tc>
        <w:tc>
          <w:tcPr>
            <w:tcW w:w="520" w:type="dxa"/>
            <w:vAlign w:val="bottom"/>
            <w:gridSpan w:val="2"/>
            <w:vMerge w:val="restart"/>
          </w:tcPr>
          <w:p>
            <w:pPr>
              <w:jc w:val="right"/>
              <w:ind w:right="36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4420" w:type="dxa"/>
            <w:vAlign w:val="bottom"/>
            <w:gridSpan w:val="2"/>
          </w:tcPr>
          <w:p>
            <w:pPr>
              <w:ind w:left="1140"/>
              <w:spacing w:after="0" w:line="193" w:lineRule="exact"/>
              <w:rPr>
                <w:sz w:val="20"/>
                <w:szCs w:val="20"/>
                <w:color w:val="auto"/>
              </w:rPr>
            </w:pPr>
            <w:r>
              <w:rPr>
                <w:rFonts w:ascii="Arial" w:cs="Arial" w:eastAsia="Arial" w:hAnsi="Arial"/>
                <w:sz w:val="18"/>
                <w:szCs w:val="18"/>
                <w:b w:val="1"/>
                <w:bCs w:val="1"/>
                <w:color w:val="auto"/>
              </w:rPr>
              <w:t>common stock</w:t>
            </w:r>
          </w:p>
        </w:tc>
        <w:tc>
          <w:tcPr>
            <w:tcW w:w="460" w:type="dxa"/>
            <w:vAlign w:val="bottom"/>
            <w:gridSpan w:val="2"/>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11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0"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Severance Expense</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February 2020, the Company eliminated the chief business officer role and Gordon K. Johnson separated from the Company. In connection with his separation, Mr. Johnson was entitled to severance benefits as documented in his Amended and Restated Employment Agreement entered into in June 2015. The severance benefits consisted of personnel and other related charges of approximately $0.4 million and stock compensation expense of approximately $0.4 million related to the acceleration of vesting on unvested shares subject to certain stock options. These severance benefits are presented as severance expense in the unaudited condensed statements of operations for the six months ended June 30, 2020. As of December 31, 2020, the Company had accrued severance expense recorded within accounts payable and accrued expenses in the amount of $0.1 million. For the three months ended June 30, 2020, and the three and six months ended June 30, 2021, there was no severance expense. As of June 30, 2021, there was no accrued severance expense.</w:t>
      </w:r>
    </w:p>
    <w:p>
      <w:pPr>
        <w:spacing w:after="0" w:line="200" w:lineRule="exact"/>
        <w:rPr>
          <w:sz w:val="20"/>
          <w:szCs w:val="20"/>
          <w:color w:val="auto"/>
        </w:rPr>
      </w:pPr>
    </w:p>
    <w:p>
      <w:pPr>
        <w:spacing w:after="0" w:line="202" w:lineRule="exact"/>
        <w:rPr>
          <w:sz w:val="20"/>
          <w:szCs w:val="20"/>
          <w:color w:val="auto"/>
        </w:rPr>
      </w:pPr>
    </w:p>
    <w:p>
      <w:pPr>
        <w:ind w:left="460" w:hanging="453"/>
        <w:spacing w:after="0"/>
        <w:tabs>
          <w:tab w:leader="none" w:pos="4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has operating and finance leases for office space, laboratory facilities and various laboratory equipment, furniture and office equipment and leasehold improvements. The Company's leases have remaining lease terms of less than 1 year to approximately 5 years, some of which include options to extend the leases for up to 5 years, and some which include options to terminate the leases within 1 year. In February 2020, the Company agreed to sublease office space in Florida, comprised of one of the two contiguous suites, under a non-cancelable operating lease, which expires in February 2026. In October 2020, the Company agreed to terminate this sublease, in exchange for a termination payment, due to financial difficulties encountered by the subtenant as a result of COVID-19.</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June 1, 2021, the Company agreed to sublease office space in Florida, comprised of one of the two contiguous suites, under a non-cancelable operating lease, which expires in February 2026.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were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460" w:type="dxa"/>
            <w:vAlign w:val="bottom"/>
            <w:gridSpan w:val="3"/>
            <w:vMerge w:val="restart"/>
          </w:tcPr>
          <w:p>
            <w:pPr>
              <w:ind w:left="1140"/>
              <w:spacing w:after="0"/>
              <w:rPr>
                <w:sz w:val="20"/>
                <w:szCs w:val="20"/>
                <w:color w:val="auto"/>
              </w:rPr>
            </w:pPr>
            <w:r>
              <w:rPr>
                <w:rFonts w:ascii="Arial" w:cs="Arial" w:eastAsia="Arial" w:hAnsi="Arial"/>
                <w:sz w:val="18"/>
                <w:szCs w:val="18"/>
                <w:b w:val="1"/>
                <w:bCs w:val="1"/>
                <w:color w:val="auto"/>
              </w:rPr>
              <w:t>Lease Cost</w:t>
            </w:r>
          </w:p>
        </w:tc>
        <w:tc>
          <w:tcPr>
            <w:tcW w:w="220" w:type="dxa"/>
            <w:vAlign w:val="bottom"/>
            <w:tcBorders>
              <w:bottom w:val="single" w:sz="8" w:color="auto"/>
            </w:tcBorders>
          </w:tcPr>
          <w:p>
            <w:pPr>
              <w:spacing w:after="0"/>
              <w:rPr>
                <w:sz w:val="20"/>
                <w:szCs w:val="20"/>
                <w:color w:val="auto"/>
              </w:rPr>
            </w:pPr>
          </w:p>
        </w:tc>
        <w:tc>
          <w:tcPr>
            <w:tcW w:w="262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5"/>
          </w:tcPr>
          <w:p>
            <w:pPr>
              <w:jc w:val="right"/>
              <w:ind w:right="310"/>
              <w:spacing w:after="0"/>
              <w:rPr>
                <w:sz w:val="20"/>
                <w:szCs w:val="20"/>
                <w:color w:val="auto"/>
              </w:rPr>
            </w:pPr>
            <w:r>
              <w:rPr>
                <w:rFonts w:ascii="Arial" w:cs="Arial" w:eastAsia="Arial" w:hAnsi="Arial"/>
                <w:sz w:val="18"/>
                <w:szCs w:val="18"/>
                <w:b w:val="1"/>
                <w:bCs w:val="1"/>
                <w:color w:val="auto"/>
                <w:w w:val="93"/>
              </w:rPr>
              <w:t>Six months ended June 30,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4460" w:type="dxa"/>
            <w:vAlign w:val="bottom"/>
            <w:gridSpan w:val="3"/>
            <w:vMerge w:val="continue"/>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Finance lease cost:</w:t>
            </w:r>
          </w:p>
        </w:tc>
        <w:tc>
          <w:tcPr>
            <w:tcW w:w="80" w:type="dxa"/>
            <w:vAlign w:val="bottom"/>
            <w:tcBorders>
              <w:right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Amortization of right-of-use assets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64</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61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bottom w:val="single" w:sz="8" w:color="CCEEFF"/>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Interest on lease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320" w:type="dxa"/>
            <w:vAlign w:val="bottom"/>
            <w:gridSpan w:val="2"/>
          </w:tcPr>
          <w:p>
            <w:pPr>
              <w:ind w:left="320"/>
              <w:spacing w:after="0"/>
              <w:rPr>
                <w:sz w:val="20"/>
                <w:szCs w:val="20"/>
                <w:color w:val="auto"/>
              </w:rPr>
            </w:pPr>
            <w:r>
              <w:rPr>
                <w:rFonts w:ascii="Arial" w:cs="Arial" w:eastAsia="Arial" w:hAnsi="Arial"/>
                <w:sz w:val="18"/>
                <w:szCs w:val="18"/>
                <w:color w:val="auto"/>
              </w:rPr>
              <w:t>Total finance lease cost</w:t>
            </w:r>
          </w:p>
        </w:tc>
        <w:tc>
          <w:tcPr>
            <w:tcW w:w="2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Short-term lease cost</w:t>
            </w:r>
          </w:p>
        </w:tc>
        <w:tc>
          <w:tcPr>
            <w:tcW w:w="220" w:type="dxa"/>
            <w:vAlign w:val="bottom"/>
          </w:tcPr>
          <w:p>
            <w:pPr>
              <w:spacing w:after="0"/>
              <w:rPr>
                <w:sz w:val="18"/>
                <w:szCs w:val="18"/>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spacing w:after="0"/>
              <w:rPr>
                <w:sz w:val="20"/>
                <w:szCs w:val="20"/>
                <w:color w:val="auto"/>
              </w:rPr>
            </w:pPr>
            <w:r>
              <w:rPr>
                <w:rFonts w:ascii="Arial" w:cs="Arial" w:eastAsia="Arial" w:hAnsi="Arial"/>
                <w:sz w:val="18"/>
                <w:szCs w:val="18"/>
                <w:color w:val="auto"/>
              </w:rPr>
              <w:t>Less: sublease income</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1140" w:type="dxa"/>
            <w:vAlign w:val="bottom"/>
          </w:tcPr>
          <w:p>
            <w:pPr>
              <w:spacing w:after="0"/>
              <w:rPr>
                <w:sz w:val="19"/>
                <w:szCs w:val="19"/>
                <w:color w:val="auto"/>
              </w:rPr>
            </w:pPr>
          </w:p>
        </w:tc>
        <w:tc>
          <w:tcPr>
            <w:tcW w:w="3320" w:type="dxa"/>
            <w:vAlign w:val="bottom"/>
            <w:tcBorders>
              <w:right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lease costs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c>
          <w:tcPr>
            <w:tcW w:w="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361</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2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6300" w:type="dxa"/>
            <w:vAlign w:val="bottom"/>
            <w:gridSpan w:val="7"/>
          </w:tcPr>
          <w:p>
            <w:pPr>
              <w:jc w:val="right"/>
              <w:ind w:right="280"/>
              <w:spacing w:after="0"/>
              <w:rPr>
                <w:sz w:val="20"/>
                <w:szCs w:val="20"/>
                <w:color w:val="auto"/>
              </w:rPr>
            </w:pPr>
            <w:r>
              <w:rPr>
                <w:rFonts w:ascii="Arial" w:cs="Arial" w:eastAsia="Arial" w:hAnsi="Arial"/>
                <w:sz w:val="18"/>
                <w:szCs w:val="18"/>
                <w:color w:val="auto"/>
                <w:w w:val="90"/>
              </w:rPr>
              <w:t>Supplemental cash flow information related to leases was as follows (in thousands):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0"/>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430"/>
              <w:spacing w:after="0"/>
              <w:rPr>
                <w:sz w:val="20"/>
                <w:szCs w:val="20"/>
                <w:color w:val="auto"/>
              </w:rPr>
            </w:pPr>
            <w:r>
              <w:rPr>
                <w:rFonts w:ascii="Arial" w:cs="Arial" w:eastAsia="Arial" w:hAnsi="Arial"/>
                <w:sz w:val="18"/>
                <w:szCs w:val="18"/>
                <w:b w:val="1"/>
                <w:bCs w:val="1"/>
                <w:color w:val="auto"/>
                <w:w w:val="88"/>
              </w:rPr>
              <w:t>Six months ended June 30,</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5160" w:type="dxa"/>
            <w:vAlign w:val="bottom"/>
            <w:gridSpan w:val="6"/>
            <w:shd w:val="clear" w:color="auto" w:fill="CCEEFF"/>
          </w:tcPr>
          <w:p>
            <w:pPr>
              <w:spacing w:after="0"/>
              <w:rPr>
                <w:sz w:val="20"/>
                <w:szCs w:val="20"/>
                <w:color w:val="auto"/>
              </w:rPr>
            </w:pPr>
            <w:r>
              <w:rPr>
                <w:rFonts w:ascii="Arial" w:cs="Arial" w:eastAsia="Arial" w:hAnsi="Arial"/>
                <w:sz w:val="18"/>
                <w:szCs w:val="18"/>
                <w:color w:val="auto"/>
                <w:w w:val="91"/>
              </w:rPr>
              <w:t>Cash paid for amounts included in the measurement of lease liabilities:</w:t>
            </w: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4"/>
              </w:rPr>
              <w:t>Operating cash flows from finance leases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5"/>
              </w:rPr>
              <w:t>Financing cash flows from finance leases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w w:val="90"/>
              </w:rPr>
              <w:t>Operating cash flows from operating leases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221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4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w w:val="95"/>
              </w:rPr>
              <w:t>Operating cash flows from short-term leases</w:t>
            </w: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540" w:type="dxa"/>
            <w:vAlign w:val="bottom"/>
            <w:gridSpan w:val="3"/>
          </w:tcPr>
          <w:p>
            <w:pPr>
              <w:ind w:left="160"/>
              <w:spacing w:after="0"/>
              <w:rPr>
                <w:sz w:val="20"/>
                <w:szCs w:val="20"/>
                <w:color w:val="auto"/>
              </w:rPr>
            </w:pPr>
            <w:r>
              <w:rPr>
                <w:rFonts w:ascii="Arial" w:cs="Arial" w:eastAsia="Arial" w:hAnsi="Arial"/>
                <w:sz w:val="18"/>
                <w:szCs w:val="18"/>
                <w:color w:val="auto"/>
                <w:w w:val="90"/>
              </w:rPr>
              <w:t>Operating cash flows from variable lease costs</w:t>
            </w: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700" w:type="dxa"/>
            <w:vAlign w:val="bottom"/>
            <w:gridSpan w:val="4"/>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700" w:type="dxa"/>
            <w:vAlign w:val="bottom"/>
            <w:gridSpan w:val="4"/>
          </w:tcPr>
          <w:p>
            <w:pPr>
              <w:spacing w:after="0"/>
              <w:rPr>
                <w:sz w:val="20"/>
                <w:szCs w:val="20"/>
                <w:color w:val="auto"/>
              </w:rPr>
            </w:pPr>
            <w:r>
              <w:rPr>
                <w:rFonts w:ascii="Arial" w:cs="Arial" w:eastAsia="Arial" w:hAnsi="Arial"/>
                <w:sz w:val="18"/>
                <w:szCs w:val="18"/>
                <w:color w:val="auto"/>
                <w:w w:val="96"/>
              </w:rPr>
              <w:t>Right-of-use assets obtained in exchange for lease liabilities:</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3320" w:type="dxa"/>
            <w:vAlign w:val="bottom"/>
            <w:tcBorders>
              <w:right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Operating leases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114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3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50"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Supplemental balance sheet information related to leases was as follows (in thousands, except weighted average remaining lease term and weighted average discount rate):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14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w w:val="97"/>
              </w:rPr>
              <w:t>June 30,</w:t>
            </w:r>
          </w:p>
        </w:tc>
        <w:tc>
          <w:tcPr>
            <w:tcW w:w="80" w:type="dxa"/>
            <w:vAlign w:val="bottom"/>
          </w:tcPr>
          <w:p>
            <w:pPr>
              <w:spacing w:after="0"/>
              <w:rPr>
                <w:sz w:val="18"/>
                <w:szCs w:val="18"/>
                <w:color w:val="auto"/>
              </w:rPr>
            </w:pPr>
          </w:p>
        </w:tc>
        <w:tc>
          <w:tcPr>
            <w:tcW w:w="1440" w:type="dxa"/>
            <w:vAlign w:val="bottom"/>
            <w:gridSpan w:val="2"/>
          </w:tcPr>
          <w:p>
            <w:pPr>
              <w:jc w:val="right"/>
              <w:ind w:right="230"/>
              <w:spacing w:after="0"/>
              <w:rPr>
                <w:sz w:val="20"/>
                <w:szCs w:val="20"/>
                <w:color w:val="auto"/>
              </w:rPr>
            </w:pPr>
            <w:r>
              <w:rPr>
                <w:rFonts w:ascii="Arial" w:cs="Arial" w:eastAsia="Arial" w:hAnsi="Arial"/>
                <w:sz w:val="18"/>
                <w:szCs w:val="18"/>
                <w:b w:val="1"/>
                <w:bCs w:val="1"/>
                <w:color w:val="auto"/>
                <w:w w:val="93"/>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114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2020</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Finance Leases</w:t>
            </w:r>
          </w:p>
        </w:tc>
        <w:tc>
          <w:tcPr>
            <w:tcW w:w="170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CCEEFF"/>
            </w:tcBorders>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1,031</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1,031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(587)</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(523)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444</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508</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finance lease liabilities</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62</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Operating Leases</w:t>
            </w:r>
          </w:p>
        </w:tc>
        <w:tc>
          <w:tcPr>
            <w:tcW w:w="1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1,187</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shd w:val="clear" w:color="auto" w:fill="CCEEFF"/>
          </w:tcPr>
          <w:p>
            <w:pPr>
              <w:spacing w:after="0" w:line="20" w:lineRule="exact"/>
              <w:rPr>
                <w:sz w:val="1"/>
                <w:szCs w:val="1"/>
                <w:color w:val="auto"/>
              </w:rPr>
            </w:pPr>
          </w:p>
        </w:tc>
        <w:tc>
          <w:tcPr>
            <w:tcW w:w="17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operating lease right-of-use assets</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1,187</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1,350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Current portion of operating lease liabilities</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342</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327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Operating lease liabilities, less current portion</w:t>
            </w:r>
          </w:p>
        </w:tc>
        <w:tc>
          <w:tcPr>
            <w:tcW w:w="17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1,413</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1,587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Total operating lease liabilities</w:t>
            </w:r>
          </w:p>
        </w:tc>
        <w:tc>
          <w:tcPr>
            <w:tcW w:w="190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1,755</w:t>
            </w:r>
          </w:p>
        </w:tc>
        <w:tc>
          <w:tcPr>
            <w:tcW w:w="80" w:type="dxa"/>
            <w:vAlign w:val="bottom"/>
          </w:tcPr>
          <w:p>
            <w:pPr>
              <w:spacing w:after="0"/>
              <w:rPr>
                <w:sz w:val="18"/>
                <w:szCs w:val="18"/>
                <w:color w:val="auto"/>
              </w:rPr>
            </w:pPr>
          </w:p>
        </w:tc>
        <w:tc>
          <w:tcPr>
            <w:tcW w:w="260" w:type="dxa"/>
            <w:vAlign w:val="bottom"/>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1,914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1140" w:type="dxa"/>
            <w:vAlign w:val="bottom"/>
            <w:vMerge w:val="restart"/>
          </w:tcPr>
          <w:p>
            <w:pPr>
              <w:spacing w:after="0"/>
              <w:rPr>
                <w:sz w:val="16"/>
                <w:szCs w:val="16"/>
                <w:color w:val="auto"/>
              </w:rPr>
            </w:pPr>
          </w:p>
        </w:tc>
        <w:tc>
          <w:tcPr>
            <w:tcW w:w="41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1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 (years)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Operating leases (years)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restart"/>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vMerge w:val="continue"/>
          </w:tcPr>
          <w:p>
            <w:pPr>
              <w:spacing w:after="0"/>
              <w:rPr>
                <w:sz w:val="18"/>
                <w:szCs w:val="18"/>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Weighted Average Discount Rate</w:t>
            </w:r>
          </w:p>
        </w:tc>
        <w:tc>
          <w:tcPr>
            <w:tcW w:w="17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Finance leases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4120" w:type="dxa"/>
            <w:vAlign w:val="bottom"/>
          </w:tcPr>
          <w:p>
            <w:pPr>
              <w:ind w:left="160"/>
              <w:spacing w:after="0"/>
              <w:rPr>
                <w:sz w:val="20"/>
                <w:szCs w:val="20"/>
                <w:color w:val="auto"/>
              </w:rPr>
            </w:pPr>
            <w:r>
              <w:rPr>
                <w:rFonts w:ascii="Arial" w:cs="Arial" w:eastAsia="Arial" w:hAnsi="Arial"/>
                <w:sz w:val="18"/>
                <w:szCs w:val="18"/>
                <w:color w:val="auto"/>
              </w:rPr>
              <w:t>Operating leases</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7.5%</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6"/>
        </w:trPr>
        <w:tc>
          <w:tcPr>
            <w:tcW w:w="5260" w:type="dxa"/>
            <w:vAlign w:val="bottom"/>
            <w:gridSpan w:val="2"/>
          </w:tcPr>
          <w:p>
            <w:pPr>
              <w:spacing w:after="0"/>
              <w:rPr>
                <w:sz w:val="20"/>
                <w:szCs w:val="20"/>
                <w:color w:val="auto"/>
              </w:rPr>
            </w:pPr>
            <w:r>
              <w:rPr>
                <w:rFonts w:ascii="Arial" w:cs="Arial" w:eastAsia="Arial" w:hAnsi="Arial"/>
                <w:sz w:val="18"/>
                <w:szCs w:val="18"/>
                <w:color w:val="auto"/>
              </w:rPr>
              <w:t>Maturities of lease liabilities were as follows (in thousands):</w:t>
            </w: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Finance</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b w:val="1"/>
                <w:bCs w:val="1"/>
                <w:color w:val="auto"/>
              </w:rPr>
              <w:t>Operating</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5260" w:type="dxa"/>
            <w:vAlign w:val="bottom"/>
            <w:gridSpan w:val="2"/>
          </w:tcPr>
          <w:p>
            <w:pPr>
              <w:ind w:left="1140"/>
              <w:spacing w:after="0"/>
              <w:rPr>
                <w:sz w:val="20"/>
                <w:szCs w:val="20"/>
                <w:color w:val="auto"/>
              </w:rPr>
            </w:pPr>
            <w:r>
              <w:rPr>
                <w:rFonts w:ascii="Arial" w:cs="Arial" w:eastAsia="Arial" w:hAnsi="Arial"/>
                <w:sz w:val="18"/>
                <w:szCs w:val="18"/>
                <w:b w:val="1"/>
                <w:bCs w:val="1"/>
                <w:color w:val="auto"/>
              </w:rPr>
              <w:t>Year Ending December 31,</w:t>
            </w: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2"/>
          </w:tcPr>
          <w:p>
            <w:pPr>
              <w:jc w:val="right"/>
              <w:ind w:right="520"/>
              <w:spacing w:after="0"/>
              <w:rPr>
                <w:sz w:val="20"/>
                <w:szCs w:val="20"/>
                <w:color w:val="auto"/>
              </w:rPr>
            </w:pPr>
            <w:r>
              <w:rPr>
                <w:rFonts w:ascii="Arial" w:cs="Arial" w:eastAsia="Arial" w:hAnsi="Arial"/>
                <w:sz w:val="18"/>
                <w:szCs w:val="18"/>
                <w:b w:val="1"/>
                <w:bCs w:val="1"/>
                <w:color w:val="auto"/>
              </w:rPr>
              <w:t>Leases</w:t>
            </w: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Leases</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w w:val="95"/>
              </w:rPr>
              <w:t>2021 (excluding the six months ended June 30, 2021)</w:t>
            </w:r>
          </w:p>
        </w:tc>
        <w:tc>
          <w:tcPr>
            <w:tcW w:w="2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2022</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463</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472</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2024</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484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Thereafter</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140" w:type="dxa"/>
            <w:vAlign w:val="bottom"/>
          </w:tcPr>
          <w:p>
            <w:pPr>
              <w:spacing w:after="0"/>
              <w:rPr>
                <w:sz w:val="18"/>
                <w:szCs w:val="18"/>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lease payments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2,070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114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Less: future interest expense</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1140" w:type="dxa"/>
            <w:vAlign w:val="bottom"/>
          </w:tcPr>
          <w:p>
            <w:pPr>
              <w:spacing w:after="0"/>
              <w:rPr>
                <w:sz w:val="21"/>
                <w:szCs w:val="21"/>
                <w:color w:val="auto"/>
              </w:rPr>
            </w:pPr>
          </w:p>
        </w:tc>
        <w:tc>
          <w:tcPr>
            <w:tcW w:w="4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Lease liabilities</w:t>
            </w:r>
          </w:p>
        </w:tc>
        <w:tc>
          <w:tcPr>
            <w:tcW w:w="204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1"/>
        </w:trPr>
        <w:tc>
          <w:tcPr>
            <w:tcW w:w="1140" w:type="dxa"/>
            <w:vAlign w:val="bottom"/>
          </w:tcPr>
          <w:p>
            <w:pPr>
              <w:spacing w:after="0"/>
              <w:rPr>
                <w:sz w:val="24"/>
                <w:szCs w:val="24"/>
                <w:color w:val="auto"/>
              </w:rPr>
            </w:pPr>
          </w:p>
        </w:tc>
        <w:tc>
          <w:tcPr>
            <w:tcW w:w="4120" w:type="dxa"/>
            <w:vAlign w:val="bottom"/>
            <w:tcBorders>
              <w:top w:val="single" w:sz="8" w:color="CCEEFF"/>
            </w:tcBorders>
          </w:tcPr>
          <w:p>
            <w:pPr>
              <w:spacing w:after="0"/>
              <w:rPr>
                <w:sz w:val="24"/>
                <w:szCs w:val="24"/>
                <w:color w:val="auto"/>
              </w:rPr>
            </w:pPr>
          </w:p>
        </w:tc>
        <w:tc>
          <w:tcPr>
            <w:tcW w:w="1700" w:type="dxa"/>
            <w:vAlign w:val="bottom"/>
            <w:tcBorders>
              <w:top w:val="single" w:sz="8" w:color="CCEEFF"/>
            </w:tcBorders>
          </w:tcPr>
          <w:p>
            <w:pPr>
              <w:jc w:val="right"/>
              <w:ind w:right="1150"/>
              <w:spacing w:after="0"/>
              <w:rPr>
                <w:sz w:val="20"/>
                <w:szCs w:val="20"/>
                <w:color w:val="auto"/>
              </w:rPr>
            </w:pPr>
            <w:r>
              <w:rPr>
                <w:rFonts w:ascii="Arial" w:cs="Arial" w:eastAsia="Arial" w:hAnsi="Arial"/>
                <w:sz w:val="18"/>
                <w:szCs w:val="18"/>
                <w:color w:val="auto"/>
              </w:rPr>
              <w:t>32</w:t>
            </w:r>
          </w:p>
        </w:tc>
        <w:tc>
          <w:tcPr>
            <w:tcW w:w="8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40" w:type="dxa"/>
            <w:vAlign w:val="bottom"/>
            <w:tcBorders>
              <w:bottom w:val="single" w:sz="8" w:color="auto"/>
            </w:tcBorders>
          </w:tcPr>
          <w:p>
            <w:pPr>
              <w:spacing w:after="0"/>
              <w:rPr>
                <w:sz w:val="9"/>
                <w:szCs w:val="9"/>
                <w:color w:val="auto"/>
              </w:rPr>
            </w:pPr>
          </w:p>
        </w:tc>
        <w:tc>
          <w:tcPr>
            <w:tcW w:w="4120" w:type="dxa"/>
            <w:vAlign w:val="bottom"/>
            <w:tcBorders>
              <w:bottom w:val="single" w:sz="8" w:color="auto"/>
            </w:tcBorders>
          </w:tcPr>
          <w:p>
            <w:pPr>
              <w:spacing w:after="0"/>
              <w:rPr>
                <w:sz w:val="9"/>
                <w:szCs w:val="9"/>
                <w:color w:val="auto"/>
              </w:rPr>
            </w:pPr>
          </w:p>
        </w:tc>
        <w:tc>
          <w:tcPr>
            <w:tcW w:w="17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88" w:lineRule="exact"/>
        <w:rPr>
          <w:sz w:val="20"/>
          <w:szCs w:val="20"/>
          <w:color w:val="auto"/>
        </w:rPr>
      </w:pPr>
    </w:p>
    <w:p>
      <w:pPr>
        <w:ind w:left="460" w:hanging="453"/>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2, 2021, the Company entered into an Equity Distribution Agreement (the "Agreement") with JMP Securities LLC ("JMP") and RBC Capital Markets, LLC ("RBCCM") under which the Company may offer and sell, from time to time at its sole discretion, shares of its common stock having an aggregate offering price of up to $75.0 million through JMP and RBCCM as its sales agents. The issuance and sale, if any, of common stock by the Company under the Agreement will be made pursuant to a registration statement on Form S-3.</w:t>
      </w:r>
    </w:p>
    <w:p>
      <w:pPr>
        <w:spacing w:after="0" w:line="1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JMP and RBCCM may sell the common stock by any method permitted by law deemed to be an “at the market offering” as defined in Rule 415 of the Securities Act of 1933, as amended. JMP and RBCCM will use commercially reasonable efforts to sell the common stock from time to time, based upon instructions from the Company (including any price, time or size limits or other customary parameters or conditions the Company may impose). The Company will pay JMP and RBCCM a commission equal to three percent (3.0%) in the aggregate of the gross sales proceeds of any common stock sold through JMP and RBCCM under the Agreement.</w:t>
      </w:r>
    </w:p>
    <w:p>
      <w:pPr>
        <w:spacing w:after="0" w:line="190"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color w:val="auto"/>
        </w:rPr>
        <w:t>The Company filed a registration statement on Form S-3 covering the sale of the shares of its common stock up to $350.0 million, $75.0 million of which was allocated to the sales of the shares of common stock issuable under the Agreement, which was declared effective on July 12, 2021.</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our unaudited condensed financial statements and related notes thereto included elsewhere in this Quarterly Report on Form 10-Q.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17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Unless the context otherwise requires, we use the terms “KemPharm,” “Company,” “we,” “us” and “our” in this Quarterly Report on Form 10-Q to refer to KemPharm, Inc. We have proprietary rights to a number of trademarks used in this Quarterly Report on Form 10-Q that are important to our business, including KemPharm, LAT and the KemPharm logo. All other trademarks, trade names and service marks appearing in this Quarterly Report on Form 10-Q are the property of their respective owners. Solely for convenience, the trademarks and trade names in this Quarterly Report on Form 10-Q are referred to without the ® and ™ symbols, but such references should not be construed as any indicator that their respective owners will not assert, to the fullest extent under applicable law, their rights thereto.</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Forward-Looking Statements</w:t>
      </w:r>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i w:val="1"/>
          <w:iCs w:val="1"/>
          <w:color w:val="auto"/>
        </w:rPr>
        <w:t>This Quarterly Report on Form 10-Q, including the section entitled “Management’s Discussion and Analysis of Financial Condition and Results of Operations,” contains forward-looking statements regarding future events and our future results that are subject to the safe harbors created under the Securities Act of 1933, as amended, or the Securities Act, and the Securities Exchange Act of 1934, as amended, or the Exchange Act. Forward-looking statements relate to future events or our future financial performance. We generally identify forward-looking statements by terminology such as “may,” “will,” “would,” “should,” “expects,” “plans,” “anticipates,” “could,” “intends,” “target,” “projects,” “contemplates,” “believes,” “estimates,” “predicts,” “assume,” “intend,” “potential,” “continue” or other similar words or the negative of these terms. We have based these forward-looking statements largely on our current expectations about future events and financial trends that we believe may affect our business, financial condition and results of operations. The outcome of the events described in these forward-looking statements is subject to risks, uncertainties and other factors described in “Risk Factors” and elsewhere in this report. Accordingly, you should not place undue reliance upon these forward-looking statements. We cannot assure you that the events and circumstances reflected in the forward-looking statements will be achieved or occur, the timing of events and circumstances and actual results could differ materially from those anticipated in the forward-looking statements. Forward-looking statements contained in this report include, but are not limited to, statements about:</w:t>
      </w:r>
    </w:p>
    <w:p>
      <w:pPr>
        <w:spacing w:after="0" w:line="185" w:lineRule="exact"/>
        <w:rPr>
          <w:sz w:val="20"/>
          <w:szCs w:val="20"/>
          <w:color w:val="auto"/>
        </w:rPr>
      </w:pPr>
    </w:p>
    <w:p>
      <w:pPr>
        <w:ind w:left="460" w:hanging="224"/>
        <w:spacing w:after="0" w:line="275" w:lineRule="auto"/>
        <w:tabs>
          <w:tab w:leader="none" w:pos="4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the progress of, outcome or and timing of any regulatory approval for any of our product candidates and the expected amount or timing of any payment related thereto under any of our collaboration agreements;</w:t>
      </w:r>
    </w:p>
    <w:p>
      <w:pPr>
        <w:spacing w:after="0" w:line="170" w:lineRule="exact"/>
        <w:rPr>
          <w:rFonts w:ascii="Arial" w:cs="Arial" w:eastAsia="Arial" w:hAnsi="Arial"/>
          <w:sz w:val="18"/>
          <w:szCs w:val="18"/>
          <w:i w:val="1"/>
          <w:iCs w:val="1"/>
          <w:color w:val="auto"/>
        </w:rPr>
      </w:pPr>
    </w:p>
    <w:p>
      <w:pPr>
        <w:ind w:left="460" w:hanging="224"/>
        <w:spacing w:after="0"/>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i w:val="1"/>
          <w:iCs w:val="1"/>
          <w:color w:val="auto"/>
        </w:rPr>
        <w:t>the progress of, timing of and expected amount of expenses associated with our research, development and commercialization activities;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ability to raise funds on commercially available reasonable terms, or at all, in order to support our continued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sufficiency of our cash resources to fund our operating expenses and capital investment requirements for any period;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expected timing of our clinical trials for our product candidates and the availability of data and result of those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expectations regarding federal, state and foreign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potential therapeutic benefits and effectiveness of our products and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size and characteristics of the markets that may be addressed by our products and product candidates;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intention to seek to establish, and the potential benefits to us from, any strategic collaborations or partnerships for the development or sale of our products and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our expectations as to future financial performance, expense levels and liquidity 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the timing of commercializing our product candidates and partnered assets;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i w:val="1"/>
          <w:iCs w:val="1"/>
          <w:color w:val="auto"/>
        </w:rPr>
        <w:t>other factors discussed elsewhere in this report.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The forward-looking statements made in this report relate only to events as of the date on which the statements are made. We have included important factors in the cautionary statements included in this report, particularly in the section entitled “Risk Factors” that we believe could cause actual results or events to differ materially from the forward-looking statements that we make. Our forward-looking statements do not reflect the potential impact of any future acquisitions, mergers, dispositions, joint ventures or investments we may make. Except as required by law, we do not assume any intent to update any forward-looking statements after the date on which the statement is made, whether as a result of new information, future events or circumstances or otherwise.</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 Factors Summary</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i w:val="1"/>
          <w:iCs w:val="1"/>
          <w:color w:val="auto"/>
        </w:rPr>
        <w:t>The risk factors summarized below could materially harm our business, operating results, and/or financial condition, impair our future prospects, and/or cause the price of our common stock to decline. These risks are discussed more fully in the section titled "Risk Factors". Material risks that may affect our business, financial condition, results of operations, and trading price of our common stock include the following:</w:t>
      </w:r>
    </w:p>
    <w:p>
      <w:pPr>
        <w:spacing w:after="0" w:line="166" w:lineRule="exact"/>
        <w:rPr>
          <w:sz w:val="20"/>
          <w:szCs w:val="20"/>
          <w:color w:val="auto"/>
        </w:rPr>
      </w:pPr>
    </w:p>
    <w:p>
      <w:pPr>
        <w:ind w:left="660" w:hanging="330"/>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0" w:lineRule="exact"/>
        <w:rPr>
          <w:rFonts w:ascii="Arial" w:cs="Arial" w:eastAsia="Arial" w:hAnsi="Arial"/>
          <w:sz w:val="18"/>
          <w:szCs w:val="18"/>
          <w:color w:val="auto"/>
        </w:rPr>
      </w:pPr>
    </w:p>
    <w:p>
      <w:pPr>
        <w:jc w:val="both"/>
        <w:ind w:left="660" w:hanging="330"/>
        <w:spacing w:after="0" w:line="262"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If we are not able to obtain required regulatory approvals for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If commercialization of AZSTARYS, APADAZ or our other product candidates is not successful, or we experience significant delays in commercialization, our business will be harmed.</w:t>
      </w:r>
    </w:p>
    <w:p>
      <w:pPr>
        <w:spacing w:after="0" w:line="170" w:lineRule="exact"/>
        <w:rPr>
          <w:rFonts w:ascii="Arial" w:cs="Arial" w:eastAsia="Arial" w:hAnsi="Arial"/>
          <w:sz w:val="18"/>
          <w:szCs w:val="18"/>
          <w:color w:val="auto"/>
        </w:rPr>
      </w:pPr>
    </w:p>
    <w:p>
      <w:pPr>
        <w:ind w:left="660" w:hanging="330"/>
        <w:spacing w:after="0" w:line="30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rFonts w:ascii="Arial" w:cs="Arial" w:eastAsia="Arial" w:hAnsi="Arial"/>
          <w:sz w:val="17"/>
          <w:szCs w:val="17"/>
          <w:color w:val="auto"/>
        </w:rPr>
      </w:pPr>
    </w:p>
    <w:p>
      <w:pPr>
        <w:ind w:left="660" w:hanging="330"/>
        <w:spacing w:after="0" w:line="305"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We may need substantial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rFonts w:ascii="Arial" w:cs="Arial" w:eastAsia="Arial" w:hAnsi="Arial"/>
          <w:sz w:val="17"/>
          <w:szCs w:val="17"/>
          <w:color w:val="auto"/>
        </w:rPr>
      </w:pPr>
    </w:p>
    <w:p>
      <w:pPr>
        <w:ind w:left="660" w:right="100" w:hanging="330"/>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We have incurred significant recurring negative net operating losses since our inception. We expect to incur operating losses over the next several years and may never achieve or maintain profitability.</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If we are unable to obtain and maintain trade secret protection or patent protection for our technology, AZSTARYS, KP879 and our other product candidates, or if the scope of the patent protection obtained is not sufficiently broad, our competitors could develop and commercialize technology and drugs similar or identical to ours, and our ability to successfully commercialize our technology, AZSTARYS, KP879 and our other product candidates, if approved, may be impaired.</w:t>
      </w:r>
    </w:p>
    <w:p>
      <w:pPr>
        <w:spacing w:after="0" w:line="184" w:lineRule="exact"/>
        <w:rPr>
          <w:rFonts w:ascii="Arial" w:cs="Arial" w:eastAsia="Arial" w:hAnsi="Arial"/>
          <w:sz w:val="18"/>
          <w:szCs w:val="18"/>
          <w:color w:val="auto"/>
        </w:rPr>
      </w:pPr>
    </w:p>
    <w:p>
      <w:pPr>
        <w:jc w:val="both"/>
        <w:ind w:left="660" w:hanging="330"/>
        <w:spacing w:after="0" w:line="274" w:lineRule="auto"/>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i w:val="1"/>
          <w:iCs w:val="1"/>
          <w:color w:val="auto"/>
        </w:rPr>
        <w:t>If we, subject to the approval of Commave Therapeutics, S.A.,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74" w:lineRule="exact"/>
        <w:rPr>
          <w:rFonts w:ascii="Arial" w:cs="Arial" w:eastAsia="Arial" w:hAnsi="Arial"/>
          <w:sz w:val="17"/>
          <w:szCs w:val="17"/>
          <w:color w:val="auto"/>
        </w:rPr>
      </w:pPr>
    </w:p>
    <w:p>
      <w:pPr>
        <w:ind w:left="660" w:hanging="330"/>
        <w:spacing w:after="0" w:line="27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The FDA may determine that any NDA we may submit under the 505(b)(2) regulatory pathway for any of our product candidates in the future is not sufficiently complete to permit a substantive review.</w:t>
      </w:r>
    </w:p>
    <w:p>
      <w:pPr>
        <w:spacing w:after="0" w:line="170" w:lineRule="exact"/>
        <w:rPr>
          <w:rFonts w:ascii="Arial" w:cs="Arial" w:eastAsia="Arial" w:hAnsi="Arial"/>
          <w:sz w:val="18"/>
          <w:szCs w:val="18"/>
          <w:color w:val="auto"/>
        </w:rPr>
      </w:pPr>
    </w:p>
    <w:p>
      <w:pPr>
        <w:jc w:val="both"/>
        <w:ind w:left="660" w:hanging="330"/>
        <w:spacing w:after="0" w:line="258"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i w:val="1"/>
          <w:iCs w:val="1"/>
          <w:color w:val="auto"/>
        </w:rPr>
        <w:t>We have entered into collaborations with Commave to develop, manufacture and commercialize AZSTARYS and KP484 worldwide. In addition, we may seek collaborations with third parties for the development or commercialization of our other product candidates, or in other territories. If those collaborations are not successful, we may not be able to capitalize on the market potential of AZSTARYS or KP484 or other product candidates, if approved.</w:t>
      </w:r>
    </w:p>
    <w:p>
      <w:pPr>
        <w:spacing w:after="0" w:line="184" w:lineRule="exact"/>
        <w:rPr>
          <w:rFonts w:ascii="Arial" w:cs="Arial" w:eastAsia="Arial" w:hAnsi="Arial"/>
          <w:sz w:val="18"/>
          <w:szCs w:val="18"/>
          <w:color w:val="auto"/>
        </w:rPr>
      </w:pPr>
    </w:p>
    <w:p>
      <w:pPr>
        <w:ind w:left="660" w:hanging="330"/>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i w:val="1"/>
          <w:iCs w:val="1"/>
          <w:color w:val="auto"/>
        </w:rPr>
        <w:t>The trading price of the shares of our common stock is likely to be volatile, and purchasers of our common stock could incur substantial losses.</w:t>
      </w: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We are a specialty pharmaceutical company focused on the discovery and development of proprietary prodrugs to treat serious medical conditions through our proprietary Ligand Activated Therapy, or LAT, technology. We utilize our proprietary LAT technology to generate improved prodrug versions of drugs approved by the U.S. Food and Drug Administration, or FDA, as well as to generate prodrug versions of existing compounds that may have applications for new disease indications. Our product candidate pipeline is focused on the high need areas of attention deficit hyperactivity disorder, or ADHD, and stimulant use disorder, or SUD, and idiopathic hypersomnia, or IH. Our newly approved product, AZSTARYS, formerly referred to as KP415, and KP484, are both based on a prodrug of d-methylphenidate, or d-MPH, but with differing extended-release, or ER, effect profiles, and are intended for the treatment of ADHD. Our lead clinical development product candidate, KP879, is also based on a prodrug of d-MPH and is intended for the treatment of stimulant use disorder, or SUD. Our preclinical prodrug product candidate for the treatment of ideopathic hypersomnia, or IH, is KP1077. We have entered into a collaboration and license agreement with Commave Therapeutics SA (formerly known as Boston Pharmaceuticals S.A.), an affiliate of Gurnet Point Capital, or Commave, for the development, manufacture and commercialization of AZSTARYS, and any other of our product candidates containing serdexmethylphenidate, or SDX, and d-MPH. In addition, we have entered into a commercial partnership with KVK-Tech, Inc., or KVK, for APADAZ</w:t>
      </w:r>
      <w:r>
        <w:rPr>
          <w:rFonts w:ascii="Arial" w:cs="Arial" w:eastAsia="Arial" w:hAnsi="Arial"/>
          <w:sz w:val="28"/>
          <w:szCs w:val="28"/>
          <w:color w:val="auto"/>
          <w:vertAlign w:val="superscript"/>
        </w:rPr>
        <w:t>®</w:t>
      </w:r>
      <w:r>
        <w:rPr>
          <w:rFonts w:ascii="Arial" w:cs="Arial" w:eastAsia="Arial" w:hAnsi="Arial"/>
          <w:sz w:val="17"/>
          <w:szCs w:val="17"/>
          <w:color w:val="auto"/>
        </w:rPr>
        <w:t>, an FDA approved immediate-release, or IR, combination product of benzhydrocodone, our prodrug of hydrocodone, and acetaminophen, or APAP, for the short-term (no more than 14 days) management of acute pain severe enough to require an opioid analgesic and for which alternative treatments are inadequate.</w:t>
      </w:r>
    </w:p>
    <w:p>
      <w:pPr>
        <w:spacing w:after="0" w:line="19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expect that our sources of revenues will be through payments arising from our license agreements with Commave and KVK, our consulting agreement with Corium and through other consulting arrangements and any other future arrangements we might enter into related to one of our other product candidates. To date, we have generated revenue from the KP415 License Agreement in the form of the non-refundable upfront payment of $10.0 million, of which we paid Aquestive $1.0 million as a royalty payment, a regulatory milestone payment of $5.0 million following the FDA’s acceptance of the AZSTARYS NDA, of which we paid Aquestive $0.5 million as a royalty payment, a regulatory milestone payment of $10.0 million following the FDA's approval of the AZSTARYS NDA, of which we paid Aquestive $1.0 million, a regulatory milestone payment of $10.0 million following the U.S. Drug Enforcement Administration's, or DEA, scheduling determination of SDX, of which we paid Aquestive $1.0 million, reimbursement of out-of-pocket third-party research and development costs and payments related to the performance of consulting services. In addition, we have generated revenue under the Corium Consulting Agreement and other consulting arrangements for the performance of consulting services as well as reimbursement of out-of-pocket third-party costs associated with those services.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March 2021, we announced that the FDA approved the NDA for AZSTARYS, a once-daily product for the treatment of ADHD in patients ranging from six years and older. Corium will lead the commercialization of AZSTARYS per the KP415 License Agreement. Corium expects to make AZSTARYS commercially available in the U.S. as early as the second half of 2021.</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May 2021, we announced that SDX, our proprietary prodrug of d-MPH and the primary active pharmaceutical ingredient, or API, in AZSTARYS, was classified as a Schedule IV controlled substance by the DEA. AZSTARYS is classified as a Schedule II controlled substance as it includes a 70:30 mixture of SDX (Schedule IV) and d-MPH (Schedule II), respectively.</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have historically had negative cash flows from operations. Our cash flows provided by operations for the six months ended June 30, 2021 and 2020 were $14.0 million and $0.2 million, respectively.</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to continue to incur significant expenses and minimal positive net cash flows from operations or negative net cash flows from operations for the foreseeable future, and those expenses and losses may fluctuate significantly from quarter-to-quarter and year-to-year. We anticipate that our expenses will fluctuate substantially as we:</w:t>
      </w:r>
    </w:p>
    <w:p>
      <w:pPr>
        <w:spacing w:after="0" w:line="182" w:lineRule="exact"/>
        <w:rPr>
          <w:sz w:val="20"/>
          <w:szCs w:val="20"/>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regulatory approvals for any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other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Recent Financial Developments</w:t>
      </w:r>
    </w:p>
    <w:p>
      <w:pPr>
        <w:spacing w:after="0" w:line="227"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In January and February 2021, we undertook a series of transactions to regain our Nasdaq Capital Market listing and improve our balance sheet. These included a reverse stock split, an underwritten public offering, or the Public Offering, a restructuring of our debt and ultimately a payoff of all remaining debt and a transaction in which we induced the holders of some of the warrants we issued in the public offering to exercise those warrants for cash.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Reverse Stock Split and Nasdaq Relisting</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Effective May 21, 2020, our common stock had been delisted from The Nasdaq Capital Market and we began listing on the OTC Markets Venture Market under the symbol “KMPH”. In anticipation of the Public Offering, we determined we would need to regain our Nasdaq listing.</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In order to relist our common stock on The Nasdaq Capital Market, our common stock was required to satisfy the initial listing standards of the Nasdaq Capital Market, which included among others, that we have stockholders’ equity of at least $5.0 million, a market value of unrestricted publicly held shares of at least $15.0 million, at least 1.0 million unrestricted publicly held shares, at least 300 unrestricted round lot stockholders, at least three market makers and a bid price of at least $4.00 per share, or, collectively, the Nasdaq Listing Requirements. Accordingly, on December 23, 2020, we effectuated a 1-for-16 reverse stock split of our common stock in order to satisfy the bid price component of the Nasdaq Listing Requirements.</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January 7, 2021, our common stock was approved for listing on The Nasdaq Capital Market. Our common stock began trading on The Nasdaq Capital Market on January 8, 2021 under the ticker symbol “KMPH”.</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anticipation of the Public Offering, and to meet the Nasdaq Listing Requirements, we agreed in December 2020 to restructure our outstanding senior secured convertible notes issued in December 2019 and January 2020, or the Senior Secured Notes, in the aggregate principal amount of $60.8 million and the senior secured convertible promissory note held by Deerfield Private Design Fund III, L.P., or Deerfield, in the principal amount of $7.5 million, or the Deerfield Note, and, collectively the Senior Secured Notes, the Facility Notes. The total outstanding principal and accrued interest under the Facility Notes was $69.4 million as of December 31, 2020.</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Under the terms of the agreement we entered into with our lenders in connection with this debt restructuring, which we refer to as the December 2020</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Exchange Agreement, on January 12, 2021, in connection with the closing of our Public Offering, we:</w:t>
      </w:r>
    </w:p>
    <w:p>
      <w:pPr>
        <w:spacing w:after="0" w:line="208" w:lineRule="exact"/>
        <w:rPr>
          <w:sz w:val="20"/>
          <w:szCs w:val="20"/>
          <w:color w:val="auto"/>
        </w:rPr>
      </w:pPr>
    </w:p>
    <w:p>
      <w:pPr>
        <w:ind w:left="460" w:hanging="224"/>
        <w:spacing w:after="0" w:line="305" w:lineRule="auto"/>
        <w:tabs>
          <w:tab w:leader="none" w:pos="4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exchanged $31.5 million of the outstanding principal and accrued interest on the Facility Notes for (i) 31,476.98412 shares of our Series B-2 convertible preferred stock, and (ii) warrants exercisable for 3,632,019 shares of our common stock, or the Exchange Warrants; and</w:t>
      </w:r>
    </w:p>
    <w:p>
      <w:pPr>
        <w:spacing w:after="0" w:line="148"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made a payment of $30.3 million, or the Debt Payment, in partial repayment of the remaining outstanding principal and accrued interest on the Facility Notes.</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Each share of Series B-2 convertible preferred stock issued pursuant to the December 2020 Exchange Agreement has a stated value of $1,000 and is convertible into shares of our common stock at any time, subject to specified limits, at a conversion price of $6.4999. The shares of Series B-2 convertible preferred stock issued under the December 2020 Exchange Agreement are convertible into an aggregate of 4,842,690 shares of our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Exchange Warrants have substantially the same terms and conditions as the warrants sold by us in our January 2021 underwritten offering.</w:t>
      </w:r>
    </w:p>
    <w:p>
      <w:pPr>
        <w:spacing w:after="0" w:line="23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Following the completion of these transactions, the aggregate balance of principal and accrued interest remaining outstanding under the Facility Notes was approximately $7.6 million. With respect to this remaining outstanding balance under the Facility Notes, the December 2020 Exchange Agreement amended the terms of that debt to provide that:</w:t>
      </w:r>
    </w:p>
    <w:p>
      <w:pPr>
        <w:spacing w:after="0" w:line="182" w:lineRule="exact"/>
        <w:rPr>
          <w:sz w:val="20"/>
          <w:szCs w:val="20"/>
          <w:color w:val="auto"/>
        </w:rPr>
      </w:pPr>
    </w:p>
    <w:p>
      <w:pPr>
        <w:ind w:left="460" w:hanging="224"/>
        <w:spacing w:after="0"/>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maturity date was changed to March 31, 2023, and the debt is prepayable upon specified conditions;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interest would accrue at the rate of 6.75% per annum, payable quarterly, would be added to principal until June 30, 2021, and then be payable in cash thereafter.</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closing of the transactions contemplated under the December 2020 Exchange Agreement, we filed an amended and restated certificate of designation with the Secretary of State of Delaware in order to modify the terms of our authorized, but unissued, shares of Series B-2 convertible preferred stock to reflect those contemplated under the December 2020 Exchange Agreement.</w:t>
      </w:r>
    </w:p>
    <w:p>
      <w:pPr>
        <w:spacing w:after="0" w:line="182"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also filed a registration statement to register for resale under the Securities Act the shares of common stock issuable upon conversion of the shares of Series B-2 convertible preferred stock and exercise of the Exchange Warrants.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i w:val="1"/>
          <w:iCs w:val="1"/>
          <w:color w:val="auto"/>
        </w:rPr>
        <w:t>Public Offering</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January 8, 2021, we issued and sold 6,765,463 shares of our common stock, pre-funded warrants to purchase 926,844 shares of our common stock and warrants to purchase 7,692,307 shares of our common stock at an exercise price per share of $6.50 in the Public Offering. In addition, we granted the underwriter for the Public Offering an option to purchase, for a period of 45 days, up to an additional 1,153,846 shares of our common stock and/or warrants to purchase up to an additional 1,153,846 shares of our common stock. On January 8, 2021, the underwriter exercised its over-allotment option, in part, for warrants to purchase 754,035 shares of our common stock. On January 12, 2021, we closed the Public Offering. Further, on February 1, 2021, the underwriter again exercised its over-allotment option, in part, to purchase 374,035 shares of our common stock. On February 3, 2021, we closed the underwriter's partial exercise of its over-allotment option.</w:t>
      </w:r>
    </w:p>
    <w:p>
      <w:pPr>
        <w:spacing w:after="0" w:line="18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December 2020 Exchange Agreement Amendment</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Deerfield and Deerfield Special Situations Fund, LP, collectively the Deerfield Holders. The January 2021 Amendment modified certain specified terms of (i) the Facility Notes and (ii) the warrant held be Deerfield, issued on June 2, 2014, or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January 2021 Warrant Exercise Inducement Letters and Issuance of Warrants</w:t>
      </w:r>
    </w:p>
    <w:p>
      <w:pPr>
        <w:spacing w:after="0" w:line="22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On January 26, 2021, we entered into warrant exercise inducement offer letters, or the January 2021 Inducement Letters, with certain holders of warrants issued in the Public Offering, or the Existing Warrants, and collectively, the Exercising Holders, pursuant to which such holders exercised for cash their Existing Warrants to purchase 6,620,358 shares of our common stock in exchange for new warrants, 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have an exercise price of $6.36 per share. We received aggregate gross proceeds of $44.0 million from the exercise of the Existing Warrants by the Exercising Holders and the sale of the January 2021 Inducement Warrants.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January 2021 Inducement Warrants which was declared effective on February 16,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Pursuant to the payoff letter, all outstanding indebtedness and obligations of us owing to the Facility Note holders under the Facility Agreement have been paid in full. The Facility Agreement and the notes thereunder, as well as the security interests in the assets of us securing the Facility Agreement and note obligations, have been terminated.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June 2021 Warrant Exercise Inducement Letters and Issuance of Warrants</w:t>
      </w:r>
    </w:p>
    <w:p>
      <w:pPr>
        <w:spacing w:after="0" w:line="22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June 18, 2021, we entered into warrant exercise inducement offer letters, or the June 2021 Inducement Letters, with certain holders of the January 2021 Inducement Warrants, pursuant to which such holders exercised for cash their January 2021 Inducement Warrants to purchase 6,117,509 shares of our common stock in exchange for new warrants, 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 and the June 2021 Inducement Warrants expire on December 31, 2026. We received aggregate gross proceeds of $39.1 million from the exercise of the January 2021 Inducement Warrants and the sale of the June 2021 Inducement Warrants.</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We also filed a registration statement on Form S-3 covering the resale of the shares of our common stock issued or issuable upon the exercise of the June 2021 Inducement Warrants which was declared effective on July 7, 2021.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Equity Distribution Agreement</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July 2, 2021, we entered into an Equity Distribution Agreement with JMP Securities LLC, or JMP, and RBC Capital Markets, LLC, or RBCCM, under which we may offer and sell, from time to time at our sole discretion, shares of our common stock having an aggregate offering price of up to $75.0 million through JMP and RBCCM as our sales agents. The issuance and sale, if any, of our common stock under the Equity Distribution Agreement will be made pursuant to a registration statement on Form S-3.</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filed a registration statement on Form S-3 covering the sale of the shares of our common stock up to $350.0 million, $75.0 million of which was allocated to the sales of the shares of common stock issuable under the Equity Distribution Agreement, the Form S-3 was declared effective on July 12, 2021.</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 and Approved Products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We have employed our proprietary LAT technology to create a portfolio of product candidates and approved products that we believe will offer significant improvements over FDA-approved and widely-prescribed drugs.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selection of our product candidates and approved products are summarized in the table below:</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KemPharm Partnered and Other Development Assets</w:t>
      </w:r>
    </w:p>
    <w:p>
      <w:pPr>
        <w:spacing w:after="0" w:line="223" w:lineRule="exact"/>
        <w:rPr>
          <w:sz w:val="20"/>
          <w:szCs w:val="20"/>
          <w:color w:val="auto"/>
        </w:rPr>
      </w:pPr>
    </w:p>
    <w:tbl>
      <w:tblPr>
        <w:tblLayout w:type="fixed"/>
        <w:tblInd w:w="114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91"/>
              </w:rPr>
              <w:t>Candidate</w:t>
            </w: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240" w:type="dxa"/>
            <w:vAlign w:val="bottom"/>
            <w:gridSpan w:val="2"/>
          </w:tcPr>
          <w:p>
            <w:pPr>
              <w:spacing w:after="0"/>
              <w:rPr>
                <w:sz w:val="20"/>
                <w:szCs w:val="20"/>
                <w:color w:val="auto"/>
              </w:rPr>
            </w:pPr>
            <w:r>
              <w:rPr>
                <w:rFonts w:ascii="Arial" w:cs="Arial" w:eastAsia="Arial" w:hAnsi="Arial"/>
                <w:sz w:val="18"/>
                <w:szCs w:val="18"/>
                <w:b w:val="1"/>
                <w:bCs w:val="1"/>
                <w:color w:val="auto"/>
              </w:rPr>
              <w:t>Parent Drug (Effect Profile)</w:t>
            </w:r>
          </w:p>
        </w:tc>
        <w:tc>
          <w:tcPr>
            <w:tcW w:w="8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b w:val="1"/>
                <w:bCs w:val="1"/>
                <w:color w:val="auto"/>
                <w:w w:val="89"/>
              </w:rPr>
              <w:t>/ Product</w:t>
            </w:r>
          </w:p>
        </w:tc>
        <w:tc>
          <w:tcPr>
            <w:tcW w:w="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0"/>
              </w:rPr>
              <w:t>Development</w:t>
            </w:r>
          </w:p>
        </w:tc>
        <w:tc>
          <w:tcPr>
            <w:tcW w:w="80" w:type="dxa"/>
            <w:vAlign w:val="bottom"/>
          </w:tcPr>
          <w:p>
            <w:pPr>
              <w:spacing w:after="0"/>
              <w:rPr>
                <w:sz w:val="18"/>
                <w:szCs w:val="18"/>
                <w:color w:val="auto"/>
              </w:rPr>
            </w:pP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2"/>
              </w:rPr>
              <w:t>Next</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(Indication)</w:t>
            </w:r>
          </w:p>
        </w:tc>
        <w:tc>
          <w:tcPr>
            <w:tcW w:w="8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(Status)</w:t>
            </w:r>
          </w:p>
        </w:tc>
        <w:tc>
          <w:tcPr>
            <w:tcW w:w="80" w:type="dxa"/>
            <w:vAlign w:val="bottom"/>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3"/>
              </w:rPr>
              <w:t>Status</w:t>
            </w:r>
          </w:p>
        </w:tc>
        <w:tc>
          <w:tcPr>
            <w:tcW w:w="80" w:type="dxa"/>
            <w:vAlign w:val="bottom"/>
          </w:tcPr>
          <w:p>
            <w:pPr>
              <w:spacing w:after="0"/>
              <w:rPr>
                <w:sz w:val="20"/>
                <w:szCs w:val="20"/>
                <w:color w:val="auto"/>
              </w:rPr>
            </w:pPr>
          </w:p>
        </w:tc>
        <w:tc>
          <w:tcPr>
            <w:tcW w:w="3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Milestone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2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6"/>
                <w:szCs w:val="16"/>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KP879*</w:t>
            </w:r>
          </w:p>
        </w:tc>
        <w:tc>
          <w:tcPr>
            <w:tcW w:w="80" w:type="dxa"/>
            <w:vAlign w:val="bottom"/>
            <w:shd w:val="clear" w:color="auto" w:fill="CCEEFF"/>
          </w:tcPr>
          <w:p>
            <w:pPr>
              <w:spacing w:after="0"/>
              <w:rPr>
                <w:sz w:val="16"/>
                <w:szCs w:val="16"/>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shd w:val="clear" w:color="auto" w:fill="CCEEFF"/>
          </w:tcPr>
          <w:p>
            <w:pPr>
              <w:spacing w:after="0"/>
              <w:rPr>
                <w:sz w:val="16"/>
                <w:szCs w:val="16"/>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4"/>
              </w:rPr>
              <w:t>Initiation of Clinical Program - H2 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(SUD)</w:t>
            </w:r>
          </w:p>
        </w:tc>
        <w:tc>
          <w:tcPr>
            <w:tcW w:w="80" w:type="dxa"/>
            <w:vAlign w:val="bottom"/>
            <w:shd w:val="clear" w:color="auto" w:fill="CCEEFF"/>
          </w:tcPr>
          <w:p>
            <w:pPr>
              <w:spacing w:after="0"/>
              <w:rPr>
                <w:sz w:val="10"/>
                <w:szCs w:val="10"/>
                <w:color w:val="auto"/>
              </w:rPr>
            </w:pPr>
          </w:p>
        </w:tc>
        <w:tc>
          <w:tcPr>
            <w:tcW w:w="110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Prodrug</w:t>
            </w:r>
          </w:p>
        </w:tc>
        <w:tc>
          <w:tcPr>
            <w:tcW w:w="80" w:type="dxa"/>
            <w:vAlign w:val="bottom"/>
          </w:tcPr>
          <w:p>
            <w:pPr>
              <w:spacing w:after="0"/>
              <w:rPr>
                <w:sz w:val="17"/>
                <w:szCs w:val="17"/>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KP1077</w:t>
            </w:r>
          </w:p>
        </w:tc>
        <w:tc>
          <w:tcPr>
            <w:tcW w:w="80" w:type="dxa"/>
            <w:vAlign w:val="bottom"/>
          </w:tcPr>
          <w:p>
            <w:pPr>
              <w:spacing w:after="0"/>
              <w:rPr>
                <w:sz w:val="17"/>
                <w:szCs w:val="17"/>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5"/>
              </w:rPr>
              <w:t>Preclinical</w:t>
            </w:r>
          </w:p>
        </w:tc>
        <w:tc>
          <w:tcPr>
            <w:tcW w:w="80" w:type="dxa"/>
            <w:vAlign w:val="bottom"/>
          </w:tcPr>
          <w:p>
            <w:pPr>
              <w:spacing w:after="0"/>
              <w:rPr>
                <w:sz w:val="17"/>
                <w:szCs w:val="17"/>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92"/>
              </w:rPr>
              <w:t>Pre-IND Meeting - H2 2021</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tcPr>
          <w:p>
            <w:pPr>
              <w:ind w:left="140"/>
              <w:spacing w:after="0"/>
              <w:rPr>
                <w:sz w:val="20"/>
                <w:szCs w:val="20"/>
                <w:color w:val="auto"/>
              </w:rPr>
            </w:pPr>
            <w:r>
              <w:rPr>
                <w:rFonts w:ascii="Arial" w:cs="Arial" w:eastAsia="Arial" w:hAnsi="Arial"/>
                <w:sz w:val="18"/>
                <w:szCs w:val="18"/>
                <w:color w:val="auto"/>
              </w:rPr>
              <w:t>(IH)</w:t>
            </w:r>
          </w:p>
        </w:tc>
        <w:tc>
          <w:tcPr>
            <w:tcW w:w="8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Methylphenidate (ER)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KP484</w:t>
            </w:r>
          </w:p>
        </w:tc>
        <w:tc>
          <w:tcPr>
            <w:tcW w:w="80" w:type="dxa"/>
            <w:vAlign w:val="bottom"/>
            <w:shd w:val="clear" w:color="auto" w:fill="CCEEFF"/>
          </w:tcPr>
          <w:p>
            <w:pPr>
              <w:spacing w:after="0"/>
              <w:rPr>
                <w:sz w:val="17"/>
                <w:szCs w:val="17"/>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9"/>
              </w:rPr>
              <w:t>Clinical</w:t>
            </w:r>
          </w:p>
        </w:tc>
        <w:tc>
          <w:tcPr>
            <w:tcW w:w="80" w:type="dxa"/>
            <w:vAlign w:val="bottom"/>
            <w:shd w:val="clear" w:color="auto" w:fill="CCEEFF"/>
          </w:tcPr>
          <w:p>
            <w:pPr>
              <w:spacing w:after="0"/>
              <w:rPr>
                <w:sz w:val="17"/>
                <w:szCs w:val="17"/>
                <w:color w:val="auto"/>
              </w:rPr>
            </w:pPr>
          </w:p>
        </w:tc>
        <w:tc>
          <w:tcPr>
            <w:tcW w:w="332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5"/>
              </w:rPr>
              <w:t>Initiation of Pivotal Efficacy Trial -</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(ADHD)</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shd w:val="clear" w:color="auto" w:fill="CCEEFF"/>
          </w:tcPr>
          <w:p>
            <w:pPr>
              <w:spacing w:after="0"/>
              <w:rPr>
                <w:sz w:val="10"/>
                <w:szCs w:val="10"/>
                <w:color w:val="auto"/>
              </w:rPr>
            </w:pPr>
          </w:p>
        </w:tc>
        <w:tc>
          <w:tcPr>
            <w:tcW w:w="1080" w:type="dxa"/>
            <w:vAlign w:val="bottom"/>
            <w:vMerge w:val="continue"/>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To Be Determined by Partner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tcPr>
          <w:p>
            <w:pPr>
              <w:spacing w:after="0" w:line="201" w:lineRule="exact"/>
              <w:rPr>
                <w:sz w:val="20"/>
                <w:szCs w:val="20"/>
                <w:color w:val="auto"/>
              </w:rPr>
            </w:pPr>
            <w:r>
              <w:rPr>
                <w:rFonts w:ascii="Arial" w:cs="Arial" w:eastAsia="Arial" w:hAnsi="Arial"/>
                <w:sz w:val="18"/>
                <w:szCs w:val="18"/>
                <w:color w:val="auto"/>
              </w:rPr>
              <w:t>Methylphenidate (ER)</w:t>
            </w:r>
          </w:p>
        </w:tc>
        <w:tc>
          <w:tcPr>
            <w:tcW w:w="80" w:type="dxa"/>
            <w:vAlign w:val="bottom"/>
          </w:tcPr>
          <w:p>
            <w:pPr>
              <w:spacing w:after="0"/>
              <w:rPr>
                <w:sz w:val="17"/>
                <w:szCs w:val="17"/>
                <w:color w:val="auto"/>
              </w:rPr>
            </w:pPr>
          </w:p>
        </w:tc>
        <w:tc>
          <w:tcPr>
            <w:tcW w:w="1100" w:type="dxa"/>
            <w:vAlign w:val="bottom"/>
          </w:tcPr>
          <w:p>
            <w:pPr>
              <w:jc w:val="center"/>
              <w:spacing w:after="0" w:line="201" w:lineRule="exact"/>
              <w:rPr>
                <w:sz w:val="20"/>
                <w:szCs w:val="20"/>
                <w:color w:val="auto"/>
              </w:rPr>
            </w:pPr>
            <w:r>
              <w:rPr>
                <w:rFonts w:ascii="Arial" w:cs="Arial" w:eastAsia="Arial" w:hAnsi="Arial"/>
                <w:sz w:val="18"/>
                <w:szCs w:val="18"/>
                <w:color w:val="auto"/>
                <w:w w:val="94"/>
              </w:rPr>
              <w:t>AZSTARYS</w:t>
            </w:r>
          </w:p>
        </w:tc>
        <w:tc>
          <w:tcPr>
            <w:tcW w:w="80" w:type="dxa"/>
            <w:vAlign w:val="bottom"/>
          </w:tcPr>
          <w:p>
            <w:pPr>
              <w:spacing w:after="0"/>
              <w:rPr>
                <w:sz w:val="17"/>
                <w:szCs w:val="17"/>
                <w:color w:val="auto"/>
              </w:rPr>
            </w:pPr>
          </w:p>
        </w:tc>
        <w:tc>
          <w:tcPr>
            <w:tcW w:w="1080" w:type="dxa"/>
            <w:vAlign w:val="bottom"/>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tcPr>
          <w:p>
            <w:pPr>
              <w:spacing w:after="0"/>
              <w:rPr>
                <w:sz w:val="17"/>
                <w:szCs w:val="17"/>
                <w:color w:val="auto"/>
              </w:rPr>
            </w:pPr>
          </w:p>
        </w:tc>
        <w:tc>
          <w:tcPr>
            <w:tcW w:w="3320" w:type="dxa"/>
            <w:vAlign w:val="bottom"/>
            <w:vMerge w:val="restart"/>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tcPr>
          <w:p>
            <w:pPr>
              <w:ind w:left="140"/>
              <w:spacing w:after="0"/>
              <w:rPr>
                <w:sz w:val="20"/>
                <w:szCs w:val="20"/>
                <w:color w:val="auto"/>
              </w:rPr>
            </w:pPr>
            <w:r>
              <w:rPr>
                <w:rFonts w:ascii="Arial" w:cs="Arial" w:eastAsia="Arial" w:hAnsi="Arial"/>
                <w:sz w:val="18"/>
                <w:szCs w:val="18"/>
                <w:color w:val="auto"/>
              </w:rPr>
              <w:t>(ADHD)</w:t>
            </w:r>
          </w:p>
        </w:tc>
        <w:tc>
          <w:tcPr>
            <w:tcW w:w="80" w:type="dxa"/>
            <w:vAlign w:val="bottom"/>
          </w:tcPr>
          <w:p>
            <w:pPr>
              <w:spacing w:after="0"/>
              <w:rPr>
                <w:sz w:val="10"/>
                <w:szCs w:val="10"/>
                <w:color w:val="auto"/>
              </w:rPr>
            </w:pP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tcPr>
          <w:p>
            <w:pPr>
              <w:spacing w:after="0"/>
              <w:rPr>
                <w:sz w:val="10"/>
                <w:szCs w:val="10"/>
                <w:color w:val="auto"/>
              </w:rPr>
            </w:pP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tcPr>
          <w:p>
            <w:pPr>
              <w:spacing w:after="0"/>
              <w:rPr>
                <w:sz w:val="10"/>
                <w:szCs w:val="10"/>
                <w:color w:val="auto"/>
              </w:rPr>
            </w:pPr>
          </w:p>
        </w:tc>
        <w:tc>
          <w:tcPr>
            <w:tcW w:w="33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32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Hydrocodone/APAP (IR)</w:t>
            </w:r>
          </w:p>
        </w:tc>
        <w:tc>
          <w:tcPr>
            <w:tcW w:w="80" w:type="dxa"/>
            <w:vAlign w:val="bottom"/>
            <w:shd w:val="clear" w:color="auto" w:fill="CCEEFF"/>
          </w:tcPr>
          <w:p>
            <w:pPr>
              <w:spacing w:after="0"/>
              <w:rPr>
                <w:sz w:val="17"/>
                <w:szCs w:val="17"/>
                <w:color w:val="auto"/>
              </w:rPr>
            </w:pPr>
          </w:p>
        </w:tc>
        <w:tc>
          <w:tcPr>
            <w:tcW w:w="110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7"/>
              </w:rPr>
              <w:t>APADAZ</w:t>
            </w: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4"/>
              </w:rPr>
              <w:t>FDA</w:t>
            </w:r>
          </w:p>
        </w:tc>
        <w:tc>
          <w:tcPr>
            <w:tcW w:w="80" w:type="dxa"/>
            <w:vAlign w:val="bottom"/>
            <w:shd w:val="clear" w:color="auto" w:fill="CCEEFF"/>
          </w:tcPr>
          <w:p>
            <w:pPr>
              <w:spacing w:after="0"/>
              <w:rPr>
                <w:sz w:val="17"/>
                <w:szCs w:val="17"/>
                <w:color w:val="auto"/>
              </w:rPr>
            </w:pPr>
          </w:p>
        </w:tc>
        <w:tc>
          <w:tcPr>
            <w:tcW w:w="332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Tracking Payor Contracts and TRx's</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3220" w:type="dxa"/>
            <w:vAlign w:val="bottom"/>
            <w:vMerge w:val="restart"/>
            <w:shd w:val="clear" w:color="auto" w:fill="CCEEFF"/>
          </w:tcPr>
          <w:p>
            <w:pPr>
              <w:ind w:left="140"/>
              <w:spacing w:after="0"/>
              <w:rPr>
                <w:sz w:val="20"/>
                <w:szCs w:val="20"/>
                <w:color w:val="auto"/>
              </w:rPr>
            </w:pPr>
            <w:r>
              <w:rPr>
                <w:rFonts w:ascii="Arial" w:cs="Arial" w:eastAsia="Arial" w:hAnsi="Arial"/>
                <w:sz w:val="18"/>
                <w:szCs w:val="18"/>
                <w:color w:val="auto"/>
              </w:rPr>
              <w:t>(Pain)</w:t>
            </w:r>
          </w:p>
        </w:tc>
        <w:tc>
          <w:tcPr>
            <w:tcW w:w="80" w:type="dxa"/>
            <w:vAlign w:val="bottom"/>
            <w:shd w:val="clear" w:color="auto" w:fill="CCEEFF"/>
          </w:tcPr>
          <w:p>
            <w:pPr>
              <w:spacing w:after="0"/>
              <w:rPr>
                <w:sz w:val="10"/>
                <w:szCs w:val="10"/>
                <w:color w:val="auto"/>
              </w:rPr>
            </w:pP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(Partnered)</w:t>
            </w:r>
          </w:p>
        </w:tc>
        <w:tc>
          <w:tcPr>
            <w:tcW w:w="80" w:type="dxa"/>
            <w:vAlign w:val="bottom"/>
            <w:shd w:val="clear" w:color="auto" w:fill="CCEEFF"/>
          </w:tcPr>
          <w:p>
            <w:pPr>
              <w:spacing w:after="0"/>
              <w:rPr>
                <w:sz w:val="10"/>
                <w:szCs w:val="10"/>
                <w:color w:val="auto"/>
              </w:rPr>
            </w:pP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Approved</w:t>
            </w:r>
          </w:p>
        </w:tc>
        <w:tc>
          <w:tcPr>
            <w:tcW w:w="80" w:type="dxa"/>
            <w:vAlign w:val="bottom"/>
            <w:shd w:val="clear" w:color="auto" w:fill="CCEEFF"/>
          </w:tcPr>
          <w:p>
            <w:pPr>
              <w:spacing w:after="0"/>
              <w:rPr>
                <w:sz w:val="10"/>
                <w:szCs w:val="10"/>
                <w:color w:val="auto"/>
              </w:rPr>
            </w:pPr>
          </w:p>
        </w:tc>
        <w:tc>
          <w:tcPr>
            <w:tcW w:w="3320" w:type="dxa"/>
            <w:vAlign w:val="bottom"/>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322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10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3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left="1140" w:right="1140" w:hanging="9"/>
        <w:spacing w:after="0" w:line="255" w:lineRule="auto"/>
        <w:tabs>
          <w:tab w:leader="none" w:pos="128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This product candidate is subject to an right of first negotiation upon completion of a Phase 1 proof-of-concept study in favor of Commave under the terms of the KP415 License Agreement, but is not currently licensed to Commave, thereunder. These anticipated milestones are based on information currently available to us and our current plans and expectations are subject to a number of uncertainties and risks that could significantly affect current plans, including plans and expectations which are not solely within our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721360</wp:posOffset>
            </wp:positionH>
            <wp:positionV relativeFrom="paragraph">
              <wp:posOffset>-688340</wp:posOffset>
            </wp:positionV>
            <wp:extent cx="5699760" cy="273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99760" cy="27305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Agreements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KP415 License Agreement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2019, we entered into the KP415 License Agreement with Commave. Under the KP415 License Agreement, we granted to Commave an exclusive, worldwide license to develop, manufacture and commercialize our product candidates containing SDX and d-MPH, including AZSTARYS, KP484, and, at the option of Commave, KP879, KP922 or any other product candidate developed by us containing SDX and developed to treat ADHD or any other central nervous system disorder, or the Additional Product Candidates and, collectively with AZSTARYS and KP484, the Licensed Product Candidates.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Under the terms of the KP415 License Agreement, we granted Commave an exclusive, worldwide license to commercialize and develop the Licensed Product Candidates; provided that such license shall apply to an Additional Product Candidates only if Commave exercises its option under the KP415 License Agreement related thereto. If Commave exercises its option related to any Additional Product Candidate under the KP415 License Agreement, the parties are obligated to negotiate in good faith regarding the economic terms of such Additional Product Candidate. We also granted to Commave a right of first refusal to acquire, license or commercialize any Additional Product Candidate,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Pursuant to the KP415 License Agreement, Commave paid us an upfront payment of $10.0 million and agreed to pay up to $63.0 million in milestone payments upon the occurrence of specified regulatory milestones related to AZSTARYS, including FDA approval and specified conditions with respect to the final approval label, and KP484. As a result of the FDA’s approval of the AZSTARYS NDA, we received a $10.0 million milestone payment as provided under the KP415 License Agreement, as amended. In addition, Commave agreed to make additional payments upon the achievement of specified U.S. sales milestones of up to $420.0 million in the aggregate, depending, among other things, on timing of approval for AZSTARYS and its final approved label, if any. In May 2020, the FDA accepted our NDA for AZSTARYS. Per the KP415 License Agreement, we received a regulatory milestone payment of $5.0 million following the FDA’s acceptance of the AZSTARYS NDA. In addition, per the KP415 License Agreement, as amended, we received a $10.0 million milestone payment upon the scheduling determination of SDX by the DEA in May 2021. Further, Commave will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as described in the KP415 License Agreement. Commave is obligated to make such royalty payments on a product-by-product basis until expiration of the Royalty Term (as defined in the KP415 License Agreement) for the applicable product.</w:t>
      </w:r>
    </w:p>
    <w:p>
      <w:pPr>
        <w:spacing w:after="0" w:line="17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Commave agreed to be responsible for and reimburse us for all of development, commercialization and regulatory expenses for the Licensed Product Candidates, subject to certain limitations as set forth in the KP415 License Agreement.</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KP415 License Agreement will continue on a product-by-product basis (i) until expiration of the Royalty Term for the applicable Licensed Product Candidate in the United States and (ii) perpetually for all other countries. Commave may terminate the KP415 License Agreement at its convenience upon prior written notice prior to regulatory approval of any Licensed Product Candidate or upon prior written notice after regulatory approval of any Licensed Product Candidate. We may terminate the KP415 License Agreement in full if Commave, any of its sublicensees or any of its or their affiliates challenge the validity of any Licensed Patent (as defined in the KP415 License Agreement) and such challenge is not required under a court order or subpoena and is not a defense against a claim, action or proceeding asserted by us. Either party may terminate the KP415 License Agreement (i) upon a material breach of the KP415 License Agreement by the other party, subject to a cure period, or (ii) if the other party encounters bankruptcy or insolvency. Upon a Serious Material Breach (as defined in the KP415 License Agreement) by us, subject to a cure period, Commave may choose not to terminate the KP415 License Agreement and instead reduce the milestone and royalty payments owed to us. Upon termination, all licenses and other rights granted by us to Commave pursuant to the KP415 License Agreement would revert to us. During the term of the KP415 License Agreement, we may not develop or commercialize any Competing Product (as defined in the KP415 License Agreement).</w:t>
      </w:r>
    </w:p>
    <w:p>
      <w:pPr>
        <w:spacing w:after="0" w:line="17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KP415 License Agreement also established a joint steering committee, which monitors progress of the development of both AZSTARYS and KP484. Subject to the oversight of the joint steering committee, we otherwise retain all responsibility for the conduct of all regulatory activities required to obtain new drug application approval of AZSTARYS and KP484; provided that Commave shall be the sponsor of any clinical trials conducted by us on behalf of Commave.</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On April 8, 2021, we entered into Amendment No. 1 to the KP415 License Agreement, or the KP415 Amendment. Pursuant to the KP415 Amendment, we agreed to modify the compensation terms of the KP415 License Agreement. Pursuant to the KP415 Amendment, Commave paid us $10.0 million in connection with the entry into the KP415 Amendment as a result of the regulatory approval of AZSTARYS in the United States. Commave also paid us $10.0 million following the receipt of the scheduling determination of the compound SDX by the DEA, which occurred in May 2021. SDX is the prodrug component of AZSTARYS. In addition, the KP415 Amendment increases the total remaining future regulatory and sales milestone payments related to AZSTARYS to up to an aggregate of $590.0 million in payments upon the occurrence of specified regulatory milestones related to AZSTARYS and upon the achievement of specified U.S. net sales milestones. Further, Commave agreed to pay us quarterly, tiered royalty payments ranging from a percentage in the high single digits to the mid-twenties of Net Sales (as defined in the KP415 License Agreement) in the United States and a percentage in the low to mid-single digits of Net Sales in each country outside the United States, in each case subject to specified reductions under certain conditions, including with respect to the final approval label, as described in the KP415 License Agreement. Commave is obligated to make such royalty payments on a product-by-product basis until expiration of the Royalty Term (as defined in the KP415 License Agreement) for the applicable product.</w:t>
      </w:r>
    </w:p>
    <w:p>
      <w:pPr>
        <w:spacing w:after="0" w:line="16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Pursuant to the KP415 Amendment, we also agreed to modify Commave’s right of first refusal such that our product candidate, KP922, is no longer subject to Commave’ right of first refusal to acquire, license or commercialize any Additional Product Candidate. Commave’s right of first refusal shall only apply to any Additional Product Candidate which contains SDX, with such right of first refusal expiring upon the acceptance of an NDA for such Additional Product Candidate containing SDX.</w:t>
      </w:r>
    </w:p>
    <w:p>
      <w:pPr>
        <w:sectPr>
          <w:pgSz w:w="11900" w:h="16838" w:orient="portrait"/>
          <w:cols w:equalWidth="0" w:num="1">
            <w:col w:w="11240"/>
          </w:cols>
          <w:pgMar w:left="320" w:top="125" w:right="339" w:bottom="915"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915"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i w:val="1"/>
          <w:iCs w:val="1"/>
          <w:color w:val="auto"/>
        </w:rPr>
        <w:t>APADAZ License Agreement</w:t>
      </w:r>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In October 2018, we entered into the APADAZ License Agreement with KVK pursuant to which we have granted an exclusive license to KVK to conduct regulatory activities for, manufacture and commercialize APADAZ in the United States.</w:t>
      </w:r>
    </w:p>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Pursuant to the APADAZ License Agreement, KVK has agreed to pay us certain payments and cost reimbursements of an estimated $3.4 million, which includes a payment of $2.0 million within 10 days of the achievement of a specified milestone related to the initial formulary adoption of APADAZ, or the Initial Adoption Milestone. In addition, KVK has agreed to make additional payments to us upon the achievement of specified sales milestones of up to $53.0 million in the aggregate. Further, we and KVK will share the quarterly net profits of APADAZ by KVK in the United States at specified tiered percentages, ranging from us receiving 30% to 50% of net profits, based on the amount of net sales on a rolling four quarter basis. We are responsible for a portion of commercialization and regulatory expenses for APADAZ until the Initial Adoption Milestone is achieved, after which KVK will be responsible for all expenses incurred in connection with commercialization and maintaining regulatory approval in the United States.</w:t>
      </w:r>
    </w:p>
    <w:p>
      <w:pPr>
        <w:spacing w:after="0" w:line="16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APADAZ License Agreement will terminate on the later of the date that all of the patent rights for APADAZ have expired in the United States or KVK’s cessation of commercialization of APADAZ in the United States. KVK may terminate the APADAZ License Agreement upon 90 days written notice if a regulatory authority in the United States orders KVK to stop sales of APADAZ due to a safety concern. In addition, after the third anniversary of the APADAZ License Agreement, KVK may terminate the APADAZ License Agreement without cause upon 18 months prior written notice. We may terminate the APADAZ License Agreement if KVK stops conducting regulatory activities for or commercializing APADAZ in the United States for a period of six months, subject to specified exceptions, or if KVK or its affiliates challenge the validity, enforceability or scope of any licensed patent under the APADAZ License Agreement. Both parties may terminate the APADAZ License Agreement (i) upon a material breach of the APADAZ License Agreement, subject to a 30-day cure period, (ii) the other party encounters bankruptcy or insolvency or (iii) if the Initial Adoption Milestone is not achieved. Upon termination, all licenses and other rights granted by us to KVK pursuant to the APADAZ License Agreement would revert to us.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APADAZ License Agreement also established a joint steering committee, which monitors progress of the commercialization of APADAZ.</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Third-Party Agreements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our March 2012 termination agreement with Aquestive, Aquestive has the right to receive a royalty amount equal to 10% of any value generated by AZSTARYS, KP484, KP879 or KP1077, and any product candidates containing SDX, including royalty payments on any license of AZSTARYS, KP484, KP879 or KP1077, the sale of AZSTARYS, KP484, KP879 or KP1077 to a third party, the commercialization of AZSTARYS, KP484, KP879 or KP1077 and the portion of any consideration that is attributable to the value of AZSTARYS, KP484, KP879 or KP1077 and paid to us or our stockholders in a change of control transaction. In connection with the KP415 License Agreement, we paid Aquestive a royalty equal to 10% of the upfront license payment we received in the third quarter of 2019, the regulatory milestone payment we received in the second quarter of 2020 and the regulatory milestone payments we received in the second quarter of 2021.</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4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92"/>
        </w:trPr>
        <w:tc>
          <w:tcPr>
            <w:tcW w:w="6100" w:type="dxa"/>
            <w:vAlign w:val="bottom"/>
            <w:gridSpan w:val="3"/>
          </w:tcPr>
          <w:p>
            <w:pPr>
              <w:spacing w:after="0"/>
              <w:rPr>
                <w:sz w:val="20"/>
                <w:szCs w:val="20"/>
                <w:color w:val="auto"/>
              </w:rPr>
            </w:pPr>
            <w:r>
              <w:rPr>
                <w:rFonts w:ascii="Arial" w:cs="Arial" w:eastAsia="Arial" w:hAnsi="Arial"/>
                <w:sz w:val="18"/>
                <w:szCs w:val="18"/>
                <w:b w:val="1"/>
                <w:bCs w:val="1"/>
                <w:color w:val="auto"/>
              </w:rPr>
              <w:t>Results of Operations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610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0"/>
              </w:rPr>
              <w:t>Comparison of the three months ended June 30, 2021 and 2020 (in thousands):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4"/>
          </w:tcPr>
          <w:p>
            <w:pPr>
              <w:jc w:val="right"/>
              <w:ind w:right="130"/>
              <w:spacing w:after="0"/>
              <w:rPr>
                <w:sz w:val="20"/>
                <w:szCs w:val="20"/>
                <w:color w:val="auto"/>
              </w:rPr>
            </w:pPr>
            <w:r>
              <w:rPr>
                <w:rFonts w:ascii="Arial" w:cs="Arial" w:eastAsia="Arial" w:hAnsi="Arial"/>
                <w:sz w:val="18"/>
                <w:szCs w:val="18"/>
                <w:b w:val="1"/>
                <w:bCs w:val="1"/>
                <w:color w:val="auto"/>
                <w:w w:val="88"/>
              </w:rPr>
              <w:t>Three months ended 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Period-to-</w:t>
            </w: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Period Change</w:t>
            </w:r>
          </w:p>
        </w:tc>
      </w:tr>
      <w:tr>
        <w:trPr>
          <w:trHeight w:val="208"/>
        </w:trPr>
        <w:tc>
          <w:tcPr>
            <w:tcW w:w="114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11,986</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6,908</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5,078</w:t>
            </w:r>
          </w:p>
        </w:tc>
      </w:tr>
      <w:tr>
        <w:trPr>
          <w:trHeight w:val="215"/>
        </w:trPr>
        <w:tc>
          <w:tcPr>
            <w:tcW w:w="11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direct contract acquisition costs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358</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2,848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894</w:t>
            </w:r>
          </w:p>
        </w:tc>
      </w:tr>
      <w:tr>
        <w:trPr>
          <w:trHeight w:val="228"/>
        </w:trPr>
        <w:tc>
          <w:tcPr>
            <w:tcW w:w="1140" w:type="dxa"/>
            <w:vAlign w:val="bottom"/>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2,305</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1,719</w:t>
            </w: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586</w:t>
            </w: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Total operating expenses</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6,153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4,315</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1,838</w:t>
            </w:r>
          </w:p>
        </w:tc>
      </w:tr>
      <w:tr>
        <w:trPr>
          <w:trHeight w:val="208"/>
        </w:trPr>
        <w:tc>
          <w:tcPr>
            <w:tcW w:w="1140" w:type="dxa"/>
            <w:vAlign w:val="bottom"/>
          </w:tcPr>
          <w:p>
            <w:pPr>
              <w:spacing w:after="0"/>
              <w:rPr>
                <w:sz w:val="18"/>
                <w:szCs w:val="18"/>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5,833</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3,240</w:t>
            </w:r>
          </w:p>
        </w:tc>
      </w:tr>
      <w:tr>
        <w:trPr>
          <w:trHeight w:val="208"/>
        </w:trPr>
        <w:tc>
          <w:tcPr>
            <w:tcW w:w="11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on extinguishment of debt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r>
      <w:tr>
        <w:trPr>
          <w:trHeight w:val="201"/>
        </w:trPr>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20" w:type="dxa"/>
            <w:vAlign w:val="bottom"/>
          </w:tcPr>
          <w:p>
            <w:pPr>
              <w:ind w:left="20"/>
              <w:spacing w:after="0" w:line="201" w:lineRule="exact"/>
              <w:rPr>
                <w:sz w:val="20"/>
                <w:szCs w:val="20"/>
                <w:color w:val="auto"/>
              </w:rPr>
            </w:pPr>
            <w:r>
              <w:rPr>
                <w:rFonts w:ascii="Arial" w:cs="Arial" w:eastAsia="Arial" w:hAnsi="Arial"/>
                <w:sz w:val="18"/>
                <w:szCs w:val="18"/>
                <w:color w:val="auto"/>
                <w:w w:val="89"/>
              </w:rPr>
              <w:t>Interest expense related to amortization of debt issuance costs and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discount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574</w:t>
            </w: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on principal</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1,181</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w w:val="96"/>
              </w:rPr>
              <w:t>Fair value adjustment related to derivative and warrant liability</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(394)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(391)</w:t>
            </w:r>
          </w:p>
        </w:tc>
      </w:tr>
      <w:tr>
        <w:trPr>
          <w:trHeight w:val="215"/>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and other (expense) income, net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Total other income (expense)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370</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(1,734)</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2,104</w:t>
            </w:r>
          </w:p>
        </w:tc>
      </w:tr>
      <w:tr>
        <w:trPr>
          <w:trHeight w:val="208"/>
        </w:trPr>
        <w:tc>
          <w:tcPr>
            <w:tcW w:w="114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r>
      <w:tr>
        <w:trPr>
          <w:trHeight w:val="215"/>
        </w:trPr>
        <w:tc>
          <w:tcPr>
            <w:tcW w:w="114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Arial" w:cs="Arial" w:eastAsia="Arial" w:hAnsi="Arial"/>
                <w:sz w:val="18"/>
                <w:szCs w:val="18"/>
                <w:color w:val="auto"/>
              </w:rPr>
              <w:t>Income tax benefit (expense)</w:t>
            </w:r>
          </w:p>
        </w:tc>
        <w:tc>
          <w:tcPr>
            <w:tcW w:w="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28"/>
        </w:trPr>
        <w:tc>
          <w:tcPr>
            <w:tcW w:w="1140" w:type="dxa"/>
            <w:vAlign w:val="bottom"/>
          </w:tcPr>
          <w:p>
            <w:pPr>
              <w:spacing w:after="0"/>
              <w:rPr>
                <w:sz w:val="19"/>
                <w:szCs w:val="19"/>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6,203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5,344</w:t>
            </w:r>
          </w:p>
        </w:tc>
      </w:tr>
      <w:tr>
        <w:trPr>
          <w:trHeight w:val="20"/>
        </w:trPr>
        <w:tc>
          <w:tcPr>
            <w:tcW w:w="1140" w:type="dxa"/>
            <w:vAlign w:val="bottom"/>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Net income for the three months ended June 30, 2021 was $6.2 million, compared to net income for the three months ended June 30, 2020 of $0.9 million. The change was primarily attributable to an increase in income from operations of $3.2 million, a gain on extinguishment of debt of $0.8 million and a decrease in net interest expense and other items of $1.7 million, partially offset by an increase in fair value adjustment expense related to derivative and warrant liability of $0.4 million. In accordance with the June 2021 Inducement Transaction we recognized a deemed dividend of $16.9 million which is the difference between the grant date fair value of the June 2021 Inducement Warrants and the purchase price of the June 2021 Inducement Warrants. This deemed dividend is deducted from net income to arrive at net loss attributable to common stockholders on the unaudited condensed statements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Revenue for the three months ended June 30, 2021 was $12.0 million, an increase of $5.1 million compared to revenue for the three months ended June 30, 2020 of $6.9 million. The increase was primarily attributable to a regulatory milestone payment on the KP415 License Agreement of $10.0 million that was earned following the DEA scheduling determination of SDX in May 2021; partially offset by a regulatory milestone payment on the KP415 License Agreement of $5.0 million that was earned following the acceptance of the NDA for KP415 by the FDA in the second quarter of 2020.</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Direct Contract Acquisition Costs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Royalties and direct contract acquisition costs for the three months ended June 30, 2021 was $1.0 million, an increase of $0.4 million compared to royalty and direct contract acquisition costs for the three months ended June 30, 2020 of $0.6 million. The increase was primarily attributable to a royalty payment of $1.0 million due to Aquestive related to the regulatory milestone payment on the KP415 License Agreement that was earned in the second quarter of 2021; partially offset by a royalty payment of $0.5 million due to Aquestive related to the regulatory milestone payment on the KP415 License Agreement that was earned in the the second quarter of 2020 as well as the recognition of previously capitalized direct contract acquisition costs related to entering into the KP415 License Agreement that were recognized pro-rata along with the revenue from the agreement during the second quarter of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expenses increased by $0.9 million, from $2.0 million for the three months ended June 30, 2020, to $2.8 million for the three months ended June 30, 2021. This increase was primarily attributable to an increase third-party research and development costs of $0.8 million and an increase in other research and development costs of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General and administrative expenses increased by $0.6 million, from $1.7 million for the three months ended June 30, 2020, to $2.3 million for the three months ended June 30, 2021. This increase was primarily attributable to an increase in professional fees of $0.6 million.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Other income (expense) changed by $2.1 million, from expense of $1.7 million for the three months ended June 30, 2020, to income of $0.4 million for the three months ended June 30, 2021. This period-to-period change was primarily attributable to a gain on extinguishment of debt of $0.8 million during the second quarter of 2021 and a decrease in net interest expense and other items of $1.7 million, partially offset by a change in non-cash fair value adjustment related to derivative and warrant liability of $0.4 million.</w:t>
      </w:r>
    </w:p>
    <w:p>
      <w:pPr>
        <w:sectPr>
          <w:pgSz w:w="11900" w:h="16838" w:orient="portrait"/>
          <w:cols w:equalWidth="0" w:num="1">
            <w:col w:w="11240"/>
          </w:cols>
          <w:pgMar w:left="320" w:top="107" w:right="339" w:bottom="297"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07" w:right="339" w:bottom="297" w:gutter="0" w:footer="0" w:header="0"/>
          <w:type w:val="continuous"/>
        </w:sectPr>
      </w:pPr>
    </w:p>
    <w:bookmarkStart w:id="46" w:name="page47"/>
    <w:bookmarkEnd w:id="46"/>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80" w:type="dxa"/>
            <w:vAlign w:val="bottom"/>
            <w:tcBorders>
              <w:bottom w:val="single" w:sz="8" w:color="0000EE"/>
            </w:tcBorders>
            <w:gridSpan w:val="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Table of Contents</w:t>
              </w:r>
            </w:hyperlink>
          </w:p>
        </w:tc>
        <w:tc>
          <w:tcPr>
            <w:tcW w:w="4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92"/>
        </w:trPr>
        <w:tc>
          <w:tcPr>
            <w:tcW w:w="6160" w:type="dxa"/>
            <w:vAlign w:val="bottom"/>
            <w:gridSpan w:val="3"/>
          </w:tcPr>
          <w:p>
            <w:pPr>
              <w:spacing w:after="0"/>
              <w:rPr>
                <w:sz w:val="20"/>
                <w:szCs w:val="20"/>
                <w:color w:val="auto"/>
              </w:rPr>
            </w:pPr>
            <w:r>
              <w:rPr>
                <w:rFonts w:ascii="Arial" w:cs="Arial" w:eastAsia="Arial" w:hAnsi="Arial"/>
                <w:sz w:val="18"/>
                <w:szCs w:val="18"/>
                <w:b w:val="1"/>
                <w:bCs w:val="1"/>
                <w:i w:val="1"/>
                <w:iCs w:val="1"/>
                <w:color w:val="auto"/>
                <w:w w:val="93"/>
              </w:rPr>
              <w:t>Comparison of the six months ended June 30, 2021 and 2020 (in thousands):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0"/>
        </w:trPr>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0"/>
              </w:rPr>
              <w:t>Six months ended June 30,</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210"/>
              <w:spacing w:after="0"/>
              <w:rPr>
                <w:sz w:val="20"/>
                <w:szCs w:val="20"/>
                <w:color w:val="auto"/>
              </w:rPr>
            </w:pPr>
            <w:r>
              <w:rPr>
                <w:rFonts w:ascii="Arial" w:cs="Arial" w:eastAsia="Arial" w:hAnsi="Arial"/>
                <w:sz w:val="18"/>
                <w:szCs w:val="18"/>
                <w:b w:val="1"/>
                <w:bCs w:val="1"/>
                <w:color w:val="auto"/>
                <w:w w:val="94"/>
              </w:rPr>
              <w:t>Period-to-</w:t>
            </w:r>
          </w:p>
        </w:tc>
      </w:tr>
      <w:tr>
        <w:trPr>
          <w:trHeight w:val="208"/>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96"/>
              </w:rPr>
              <w:t>Period Change</w:t>
            </w:r>
          </w:p>
        </w:tc>
      </w:tr>
      <w:tr>
        <w:trPr>
          <w:trHeight w:val="208"/>
        </w:trPr>
        <w:tc>
          <w:tcPr>
            <w:tcW w:w="1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24,103</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8,997</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15,106</w:t>
            </w:r>
          </w:p>
        </w:tc>
      </w:tr>
      <w:tr>
        <w:trPr>
          <w:trHeight w:val="215"/>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Royalty and direct contract acquisition costs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2,000</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695</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5,113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4,080</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1,033</w:t>
            </w: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4,197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Severance expense</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r>
      <w:tr>
        <w:trPr>
          <w:trHeight w:val="208"/>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11,310</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1,131</w:t>
            </w:r>
          </w:p>
        </w:tc>
      </w:tr>
      <w:tr>
        <w:trPr>
          <w:trHeight w:val="208"/>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12,793</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(1,182)</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13,975</w:t>
            </w:r>
          </w:p>
        </w:tc>
      </w:tr>
      <w:tr>
        <w:trPr>
          <w:trHeight w:val="208"/>
        </w:trPr>
        <w:tc>
          <w:tcPr>
            <w:tcW w:w="1140" w:type="dxa"/>
            <w:vAlign w:val="bottom"/>
          </w:tcPr>
          <w:p>
            <w:pPr>
              <w:spacing w:after="0"/>
              <w:rPr>
                <w:sz w:val="18"/>
                <w:szCs w:val="18"/>
                <w:color w:val="auto"/>
              </w:rPr>
            </w:pPr>
          </w:p>
        </w:tc>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(expense) income: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5"/>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Loss on extinguishment of debt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(16,096)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(16,096)</w:t>
            </w:r>
          </w:p>
        </w:tc>
      </w:tr>
      <w:tr>
        <w:trPr>
          <w:trHeight w:val="201"/>
        </w:trPr>
        <w:tc>
          <w:tcPr>
            <w:tcW w:w="1140" w:type="dxa"/>
            <w:vAlign w:val="bottom"/>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8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0"/>
              </w:rPr>
              <w:t>Interest expense related to amortization of debt issuance costs and</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114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Interest expense on principal</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(2,457)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2,242</w:t>
            </w:r>
          </w:p>
        </w:tc>
      </w:tr>
      <w:tr>
        <w:trPr>
          <w:trHeight w:val="215"/>
        </w:trPr>
        <w:tc>
          <w:tcPr>
            <w:tcW w:w="114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Fair value adjustment related to derivative and warrant liability</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r>
      <w:tr>
        <w:trPr>
          <w:trHeight w:val="215"/>
        </w:trPr>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80" w:type="dxa"/>
            <w:vAlign w:val="bottom"/>
          </w:tcPr>
          <w:p>
            <w:pPr>
              <w:ind w:left="20"/>
              <w:spacing w:after="0"/>
              <w:rPr>
                <w:sz w:val="20"/>
                <w:szCs w:val="20"/>
                <w:color w:val="auto"/>
              </w:rPr>
            </w:pPr>
            <w:r>
              <w:rPr>
                <w:rFonts w:ascii="Arial" w:cs="Arial" w:eastAsia="Arial" w:hAnsi="Arial"/>
                <w:sz w:val="18"/>
                <w:szCs w:val="18"/>
                <w:color w:val="auto"/>
              </w:rPr>
              <w:t>Interest and other (expense) income, net</w:t>
            </w:r>
          </w:p>
        </w:tc>
        <w:tc>
          <w:tcPr>
            <w:tcW w:w="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r>
      <w:tr>
        <w:trPr>
          <w:trHeight w:val="208"/>
        </w:trPr>
        <w:tc>
          <w:tcPr>
            <w:tcW w:w="1140" w:type="dxa"/>
            <w:vAlign w:val="bottom"/>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48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expenses</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(16,886)</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(13,173)</w:t>
            </w:r>
          </w:p>
        </w:tc>
      </w:tr>
      <w:tr>
        <w:trPr>
          <w:trHeight w:val="208"/>
        </w:trPr>
        <w:tc>
          <w:tcPr>
            <w:tcW w:w="1140" w:type="dxa"/>
            <w:vAlign w:val="bottom"/>
          </w:tcPr>
          <w:p>
            <w:pPr>
              <w:spacing w:after="0"/>
              <w:rPr>
                <w:sz w:val="18"/>
                <w:szCs w:val="18"/>
                <w:color w:val="auto"/>
              </w:rPr>
            </w:pPr>
          </w:p>
        </w:tc>
        <w:tc>
          <w:tcPr>
            <w:tcW w:w="5020" w:type="dxa"/>
            <w:vAlign w:val="bottom"/>
            <w:gridSpan w:val="2"/>
          </w:tcPr>
          <w:p>
            <w:pPr>
              <w:spacing w:after="0"/>
              <w:rPr>
                <w:sz w:val="20"/>
                <w:szCs w:val="20"/>
                <w:color w:val="auto"/>
              </w:rPr>
            </w:pPr>
            <w:r>
              <w:rPr>
                <w:rFonts w:ascii="Arial" w:cs="Arial" w:eastAsia="Arial" w:hAnsi="Arial"/>
                <w:sz w:val="18"/>
                <w:szCs w:val="18"/>
                <w:color w:val="auto"/>
              </w:rPr>
              <w:t>Loss before income taxes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(4,093)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(4,895)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802</w:t>
            </w:r>
          </w:p>
        </w:tc>
      </w:tr>
      <w:tr>
        <w:trPr>
          <w:trHeight w:val="215"/>
        </w:trPr>
        <w:tc>
          <w:tcPr>
            <w:tcW w:w="1140" w:type="dxa"/>
            <w:vAlign w:val="bottom"/>
          </w:tcPr>
          <w:p>
            <w:pPr>
              <w:spacing w:after="0"/>
              <w:rPr>
                <w:sz w:val="18"/>
                <w:szCs w:val="18"/>
                <w:color w:val="auto"/>
              </w:rPr>
            </w:pPr>
          </w:p>
        </w:tc>
        <w:tc>
          <w:tcPr>
            <w:tcW w:w="5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8"/>
        </w:trPr>
        <w:tc>
          <w:tcPr>
            <w:tcW w:w="6160" w:type="dxa"/>
            <w:vAlign w:val="bottom"/>
            <w:gridSpan w:val="3"/>
          </w:tcPr>
          <w:p>
            <w:pPr>
              <w:ind w:left="114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(4,093)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(4,895)</w:t>
            </w:r>
          </w:p>
        </w:tc>
        <w:tc>
          <w:tcPr>
            <w:tcW w:w="22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802</w:t>
            </w:r>
          </w:p>
        </w:tc>
      </w:tr>
      <w:tr>
        <w:trPr>
          <w:trHeight w:val="20"/>
        </w:trPr>
        <w:tc>
          <w:tcPr>
            <w:tcW w:w="1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loss for the six months ended June 30, 2021 was $4.1 million, compared to net loss for the six months ended June 30, 2020 of $4.9 million. The change was primarily attributable to a loss on extinguishment of debt of $16.1 million and change in the fair value adjustment related to derivative and warrant liability of $0.5 million, partially offset by a change in income (loss) from operations of $14.0 million and a decrease in net interest expense and other items of $3.4 million. In accordance with the January 2021 and June 2021 Inducement Transactions we recognized deemed dividends of $37.4 million and $16.9 million, respectively. These deemed dividends represent the difference between the grant date fair value of the respective inducement warrants and the purchase price of the respective inducement warrants. These deemed dividends are added to net loss to arrive at net loss attributable to common stockholders on the unaudited condensed statements of operations.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for the six months ended June 30, 2021 was $24.1 million, an increase of $15.1 million compared to revenue for the six months ended June 30, 2020 of $9.0 million. The increase was primarily attributable to two regulatory milestone payments on the KP415 License Agreement of $10.0 million each that were earned when the FDA approved the NDA for AZSTARYS in March 2021 and upon the scheduling of SDX by the DEA in May 2021, partially offset by a regulatory milestone payment on the KP415 License Agreement of $5.0 million that was earned when the FDA accepted the NDA for KP415 in the second quarter of 2020.</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Royalty and Direct Contract Acquisition Costs</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Royalties and direct contract acquisition costs for the six months ended June 30, 2021 was $2.0 million, an increase of $0.7 million compared to royalty and direct contract acquisition costs for the six months ended June 30, 2020 of $1.3 million. The increase was primarily attributable to two royalty payments of $1.0 million each due to Aquestive related to the regulatory milestone payments on the KP415 License Agreement that were earned in the first and second quarter of 2021, partially offset by a royalty payment of $0.5 million due to Aquestive related to the regulator milestone payment on the KP415 License Agreement that was recognized in the second quarter of 2020 and the recognition of previously capitalized direct contract acquisition costs related to entering into the KP415 License Agreement that were recognized pro-rata along with the revenue from the agreement during 2020.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Research and development expenses increased by $1.0 million, from $4.1 million for the six months ended June 30, 2020, to $5.1 million for the three months ended June 30, 2021. This increase was primarily attributable to an increase in third-party research and development costs of $0.8 million and an increase in personnel-related costs of $0.2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General and administrative expenses increased by $0.2 million, from $4.0 million for the six months ended June 30, 2020, to $4.2 million for the three months ended June 30, 2021. This increase was primarily attributable to an increase in professional fees of $0.2 million and an increase in personnel-related costs of $0.1 million, partially offset by a decrease in other general and administrative costs of $0.1 million.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Severance Expense</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Severance expense of $0.8 million was recognized for the six months ended June 30, 2020 due to the termination of our chief business officer in February 2020. Severance expense was comprised of $0.4 million of personnel and other related charges and $0.4 million of stock compensation expense related to the acceleration of vesting on certain stock options upon employee termination. We had no severance expense for the six months ended June 30, 2021.</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Expense</w:t>
      </w:r>
    </w:p>
    <w:p>
      <w:pPr>
        <w:spacing w:after="0" w:line="22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Other expenses increased by $13.2 million, from $3.7 million for the six months ended June 30, 2020, to $16.9 million for the six months ended June 30, 2021. This period-to-period increase in expense was primarily attributable to a loss on extinguishment of debt of $16.1 million during the first quarter of</w:t>
      </w:r>
    </w:p>
    <w:p>
      <w:pPr>
        <w:sectPr>
          <w:pgSz w:w="11900" w:h="16929" w:orient="portrait"/>
          <w:cols w:equalWidth="0" w:num="1">
            <w:col w:w="11240"/>
          </w:cols>
          <w:pgMar w:left="320" w:top="107" w:right="339" w:bottom="0" w:gutter="0" w:footer="0" w:header="0"/>
        </w:sectPr>
      </w:pPr>
    </w:p>
    <w:bookmarkStart w:id="47" w:name="page48"/>
    <w:bookmarkEnd w:id="47"/>
    <w:p>
      <w:pPr>
        <w:spacing w:after="0" w:line="275" w:lineRule="auto"/>
        <w:rPr>
          <w:sz w:val="20"/>
          <w:szCs w:val="20"/>
          <w:color w:val="auto"/>
        </w:rPr>
      </w:pPr>
      <w:r>
        <w:rPr>
          <w:rFonts w:ascii="Arial" w:cs="Arial" w:eastAsia="Arial" w:hAnsi="Arial"/>
          <w:sz w:val="18"/>
          <w:szCs w:val="18"/>
          <w:color w:val="auto"/>
        </w:rPr>
        <w:t>2021 and a change in non-cash fair value adjustment related to derivative and warrant liability of $0.5 million, partially offset by a decrease in net interest expense and other items of $3.4 million.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3"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Through June 30, 2021, we have funded our research and development and operating activities primarily through the issuance of debt, private placements of redeemable convertible preferred stock and the sale of common stock in our initial public offering, at-the-market offering, underwritten public offerings, through our purchase agreements with Lincoln Park Capital LLC, or Lincoln Park, and from revenue received under the KP415 License Agreement, the Corium Consulting Agreement and other consulting arrangements. As of June 30, 2021, we had cash and cash equivalents of $132.3 million.</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2019, we entered into the KP415 License Agreement with Commave and Commave paid us a non-refundable upfront payment of $10.0 million. In May 2020, the FDA accepted the NDA for AZSTARYS. Per the KP415 License Agreement, we received a regulatory milestone payment of $5.0 million following the FDA’s acceptance of the AZSTARYS NDA. In March 2021, the FDA approved the NDA for AZSTARYS. Per the KP415 Amendment, we received a regulatory milestone of $10.0 million following the FDA's approval of the AZSTARYS NDA. In May 2021, the DEA made a scheduling determination of SDX. Per the KP415 License Agreement, as amended, we received a regulatory milestone of $10.0 million following the scheduling determination of SDX by the DEA.</w:t>
      </w:r>
    </w:p>
    <w:p>
      <w:pPr>
        <w:spacing w:after="0" w:line="19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July 2020, we entered into the Corium Consulting Agreement under which Corium engaged us to guide the product development and regulatory activities for certain current and potential future products in their portfolio, as well as continue supporting preparation for the potential commercial launch of AZSTARYS. Under the Corium Consulting Agreement, we are entitled to receive payments from Corium of up to $15.6 million, $13.6 million of which will be paid in quarterly installments through March 31, 2022. The remaining $2.0 million is conditioned upon the achievement of a specified regulatory milestone related to Corium’s product portfolio. Corium also agreed to be responsible for and reimburse us for all development, commercialization and regulatory expenses incurred as part of the performance of the consulting services.</w:t>
      </w:r>
    </w:p>
    <w:p>
      <w:pPr>
        <w:spacing w:after="0" w:line="19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February 2020, we entered into the 2020 ELOC Agreement, with Lincoln Park, which provided that, upon the terms and subject to the conditions and limitations set forth therein, we may sell to Lincoln Park up to $4.0 million of shares of our common stock, from time to time over the 12-month term of the 2020 ELOC Agreement, and upon execution of the 2020 ELOC Agreement we issued an additional 19,289 shares of our common stock to Lincoln Park as commitment shares in accordance with the closing conditions contained within the 2020 ELOC Agreement. In May 2020, we reached the maximum allowable shares to be issued under the registration statement on Form S-3 covering the sale from time to time of up to $80.0 million of our common stock, preferred stock, and debt and/or warrants, which was declared effective by the SEC on April 10, 2020, of 579,260 shares and therefore we cannot issue additional shares under the 2020 ELOC Agreement. Through May 2020, we sold 559,971 shares of common stock (exclusive of the 19,289 commitment shares previously issued to Lincoln Park) under the 2020 ELOC Agreement for approximately $2.3 million in gross proceeds.</w:t>
      </w:r>
    </w:p>
    <w:p>
      <w:pPr>
        <w:spacing w:after="0" w:line="16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had recurring negative net operating cash flows and we anticipate that we may continue to incur minimal positive net cash flows from operations or negative net cash flows from operations for at least the next several years. We expect that our sources of revenue will be through payments arising from our license agreements with Commave and KVK, or through our Corium Consulting Agreement, and other potential consulting arrangements and any other future arrangements related to one of our other product candidates.</w:t>
      </w:r>
    </w:p>
    <w:p>
      <w:pPr>
        <w:spacing w:after="0" w:line="18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January 2021, we completed the Public Offering. The aggregate gross proceeds to us from the Public Offering, including from the exercises by the underwriter of its over-allotment option, totaled $52.4 million, before deducting underwriting discounts and commissions and offering expenses payable by us.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January 2021, we entered into the January 2021 Inducement Letters. We received aggregate gross proceeds of $44.0 million from the exercise of the Existing Warrants by the Exercising Holders and the sale of the January 2021 Inducement Warrants.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2020, we received proceeds of $0.8 million from a loan, or the PPP Loan, under the Paycheck Protection Program, or the PPP, of the Coronavirus Aid, Relief, and Economic Security Act, or the CARES Act, which we used to retain current employees, maintain payroll and make lease and utility payments. The PPP Loan matured on April 23, 2022 and bore annual interest at a rate of 1.0%. Payments of principal and interest on the PPP Loan were deferred for the first 16 months of the PPP Loan term. In May 2021, we received notice from the U.S. Small Business Administration that our PPP Loan was forgiven in full, including all principal and interest.</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entered into the June 2021 Inducement Letters. We received aggregate gross proceeds of $39.1 million for the exercise of the select January 2021 Inducement Warrants by the select warrant holders and the sale of the June 2021 Inducement Warrants.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On July 2, 2021, we entered into the Equity Distribution Agreement with JMP and RBCCM under which we may offer and sell, from time to time at our sole discretion, shares of our common stock, having an aggregate offering price of up to $75.0 million through JMP and RBCCM as its sales agents. The issuance and sale, if any, of our common stock the Equity Distribution Agreement will be made pursuant to a registration statement on Form S-3.</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i w:val="1"/>
          <w:iCs w:val="1"/>
          <w:color w:val="auto"/>
        </w:rPr>
        <w:t>Convertible Debt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As of June 30, 2021, we had no convertible notes outstanding. During the first quarter of 2021 we repaid in full the convertible notes and terminated the Deerfield Facility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Deerfield Facility Agreement</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June 2014, we entered into the Deerfield Facility Agreement as a $60.0 million multi-tranche credit facility with Deerfield. At the time we entered into the Deerfield Facility Agreement, we borrowed the first tranche, which consisted of a $15.0 million term note and the $10.0 million convertible note, or the Deerfield Convertible Note.</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Deerfield Convertible Note originally bore interest at 9.75% per annum, but was subsequently reduced to 6.75%. Interest accrued on the outstanding balance under the Deerfield Convertible Note was due quarterly in arrears. We originally had to repay one-third of the outstanding principal amount of the Deerfield Convertible Note on the fourth and fifth anniversaries of the Deerfield Facility Agreement (June 2018 and June 2019). In June 2018, Deerfield agreed to convert the $3,333,333 of the principal amount then due, plus $168,288 of accrued interest, into 37,410 shares of our common stock. In September 2019, we entered into an amendment with Deerfield in order to (i) reduce the interest rate applicable under the Deerfield Facility Agreement from 9.75% to 6.75%, (ii) provide for “payment in kind” of interest on the Loans (as defined in the Deerfield Facility Agreement), and (iii) defer the Loan payments due pursuant to the Deerfield Facility Agreement until June 1, 2020. In December 2019, we entered into another amendment with Deerfield in order to (i) defer the Loan payments due pursuant to the Deerfield Facility Agreement until March 31, 2021 and (ii) allow for the entries of additional debt and debt holders under the Deerfield Facility Agreement (as discussed in more detail below).</w:t>
      </w:r>
    </w:p>
    <w:p>
      <w:pPr>
        <w:spacing w:after="0" w:line="178"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Deerfield Facility Agreement, we issued to Deerfield 1,923,077 shares of our Series D redeemable convertible preferred stock, or Series D Preferred, as consideration for the loans provided to us thereunder. Upon closing of our initial public offering, these shares of Series D Preferred reclassified into 256,410 shares of our common stock (effected for the 16-for-1 reverse stock split in December 2020 this became 16,025 shares of our common stock).</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also issued to Deerfield the Deerfield Warrant to purchase 14,423,076 shares of our Series D Preferred at an initial exercise price of $0.78 per share. Upon closing of our initial public offering, this warrant converted into a warrant exercisable for 1,923,077 shares of our common stock at an exercise price of $5.85 per share (effected for the 16-for-1 reverse stock split in December 2020 this became a warrant exercisable for 120,192 shares of our common stock at an exercise price of $93.60 per share). Upon the closing of the inducement transaction in January 2021, in accordance with the anti-dilution provisions contained within the Deerfield Warrant, the exercise price of the Deerfield Warrant was reduced to $46.25 per share. Further, upon closing of the inducement transaction in June 2021, in accordance with the anti-dilution provisions contained within the Deerfield Warrant, the exercise price of the Deerfield Warrant was reduced to $38.34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2021 Notes</w:t>
      </w:r>
    </w:p>
    <w:p>
      <w:pPr>
        <w:spacing w:after="0" w:line="223"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February 2016, we issued our 5.50% Senior Convertible Notes due 2021, or the 2021 Notes, in aggregate principal amount of $86.3 million. The 2021 Notes were originally issued to Cowen and Company and RBCCM LLC as representatives of the several initial purchasers, who subsequently resold the 2021 Notes to qualified institutional buyers in reliance on the exemption from registration provided by Rule 144A under the Securities Act.</w:t>
      </w:r>
    </w:p>
    <w:p>
      <w:pPr>
        <w:spacing w:after="0" w:line="16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2021 Notes were issued pursuant to an indenture, dated as of February 9, 2016, between us and U.S. Bank National Association, as trustee. Interest on the 2021 Notes was payable semi-annually in cash in arrears on February 1 and August 1 of each year, beginning on August 1, 2016, at a rate of 5.50% per year. The 2021 Notes originally matured on February 1, 2021 unless earlier converted or repurchased.</w:t>
      </w:r>
    </w:p>
    <w:p>
      <w:pPr>
        <w:spacing w:after="0" w:line="182" w:lineRule="exact"/>
        <w:rPr>
          <w:sz w:val="20"/>
          <w:szCs w:val="20"/>
          <w:color w:val="auto"/>
        </w:rPr>
      </w:pPr>
    </w:p>
    <w:p>
      <w:pPr>
        <w:jc w:val="both"/>
        <w:ind w:right="20"/>
        <w:spacing w:after="0" w:line="339" w:lineRule="auto"/>
        <w:rPr>
          <w:sz w:val="20"/>
          <w:szCs w:val="20"/>
          <w:color w:val="auto"/>
        </w:rPr>
      </w:pPr>
      <w:r>
        <w:rPr>
          <w:rFonts w:ascii="Arial" w:cs="Arial" w:eastAsia="Arial" w:hAnsi="Arial"/>
          <w:sz w:val="16"/>
          <w:szCs w:val="16"/>
          <w:color w:val="auto"/>
        </w:rPr>
        <w:t>In multiple exchanges occurring in October 2018, December 2019 and January 2020, all outstanding 2021 Notes were exchanged by the holders thereof for either shares of our common stock or the December 2019 Notes and January 2020 Note issued under the terms of the Deerfield Facility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auto"/>
        </w:rPr>
        <w:t>2021 Note Exchange Effected in January 2020</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2020, we entered into a January 2020 Exchange Agreement, or the January 2020 Exchange Agreement, with M. Kingdon Offshore Master Fund, LP, or Kingdon. Under the January 2020 Exchange Agreement, we issued the January 2020 Note as a senior secured convertible note in the aggregate principal amount of $3,037,354 in exchange for the cancellation of an aggregate of $3,037,354 principal amount and accrued interest of the 2021 Note then owned by Kingdon. Upon entering into the January 2020 Exchange Agreement, we agreed to pay Kingdon an interest payment of $37,354, which represents 50% of the accrued and unpaid interest, as of January 13, 2020, on Kingdon’s 2021 Note. The remainder of such interest was included in the principal amount of the January 2020 Note.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January 2020 Note was issued with substantially the same terms and conditions as the December 2019 Notes (as amended by the amendment described in more detail below).</w:t>
      </w:r>
    </w:p>
    <w:p>
      <w:pPr>
        <w:spacing w:after="0" w:line="171" w:lineRule="exact"/>
        <w:rPr>
          <w:sz w:val="20"/>
          <w:szCs w:val="20"/>
          <w:color w:val="auto"/>
        </w:rPr>
      </w:pPr>
    </w:p>
    <w:p>
      <w:pPr>
        <w:jc w:val="both"/>
        <w:ind w:right="20"/>
        <w:spacing w:after="0" w:line="289" w:lineRule="auto"/>
        <w:rPr>
          <w:sz w:val="20"/>
          <w:szCs w:val="20"/>
          <w:color w:val="auto"/>
        </w:rPr>
      </w:pPr>
      <w:r>
        <w:rPr>
          <w:rFonts w:ascii="Arial" w:cs="Arial" w:eastAsia="Arial" w:hAnsi="Arial"/>
          <w:sz w:val="16"/>
          <w:szCs w:val="16"/>
          <w:color w:val="auto"/>
        </w:rPr>
        <w:t>In connection with entering into the January 2020 Exchange Agreement, we entered into an Amendment to Facility Agreement and December 2019 Notes and Consent, or the December 2019 Note Amendment, with the December 2019 Holders that, among other things, (i) amended the December 2019 Notes to</w:t>
      </w:r>
    </w:p>
    <w:p>
      <w:pPr>
        <w:spacing w:after="0" w:line="1" w:lineRule="exact"/>
        <w:rPr>
          <w:sz w:val="20"/>
          <w:szCs w:val="20"/>
          <w:color w:val="auto"/>
        </w:rPr>
      </w:pPr>
    </w:p>
    <w:p>
      <w:pPr>
        <w:jc w:val="both"/>
        <w:ind w:firstLine="7"/>
        <w:spacing w:after="0" w:line="267" w:lineRule="auto"/>
        <w:tabs>
          <w:tab w:leader="none" w:pos="248" w:val="left"/>
        </w:tabs>
        <w:numPr>
          <w:ilvl w:val="0"/>
          <w:numId w:val="29"/>
        </w:numPr>
        <w:rPr>
          <w:rFonts w:ascii="Arial" w:cs="Arial" w:eastAsia="Arial" w:hAnsi="Arial"/>
          <w:sz w:val="17"/>
          <w:szCs w:val="17"/>
          <w:color w:val="auto"/>
        </w:rPr>
      </w:pPr>
      <w:r>
        <w:rPr>
          <w:rFonts w:ascii="Arial" w:cs="Arial" w:eastAsia="Arial" w:hAnsi="Arial"/>
          <w:sz w:val="17"/>
          <w:szCs w:val="17"/>
          <w:color w:val="auto"/>
        </w:rPr>
        <w:t>reduce the Conversion Price (as defined in the December 2019 Notes) from $273.76 to $93.60 per share, (b) increased the Floor Price (as defined in the December 2019 Notes) from $6.08 to $9.328 per share, and (ii) amended Deerfield Facility Agreement to (x) provide for Kingdon to join the Deerfield Facility Agreement as a Lender (as defined in the Deerfield Facility Agreement) and (y) provide that the 2020 Note and shall constitute a “Senior Secured Convertible Note” (as defined in the Deerfield Facility Agreement) for purposes of the Deerfield Facility Agreement and other Transaction Documents (as defined in the Deerfield Facility Agreement). As a result of the December 2019 Note Amendment, the December 2019 Notes were convertible, by their terms, into an aggregate of 11,753,016 shares of our common stock, assuming a conversion date of January 13, 2020 (effected for the 16-for-1 reverse stock split in December 2020 this became 734,562 shares of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Restructuring</w:t>
      </w:r>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December 2020, we entered into the December 2020 Exchange Agreement, which was amended on December 24, 2020. Pursuant to the December 2020 Exchange Agreement, (a) we made the Debt Payment as a cash pre-payment of a portion of principal amount of the Senior Secured Notes and the Deerfield Note to the Deerfield Lenders, DSC and Kingdon, or, collectively, the Holders, in an aggregate amount equal to approximately $30.3 million; and (b) issued 31,476.98412 shares of our Series B-2 Preferred Stock and warrants exercisable for 3,632,019 shares of our common stock, or the Exchange Warrants, in exchange for the cancellation of a portion of the principal amount of the Senior Secured Notes and Deerfield Note owned by the Holders, with such transaction referred to as the Exchange. Immediately following the completion of the Exchange and Debt Payment, the aggregate balance of principal and accrued interest remaining outstanding under the Facility Notes was approximately $7.6 million.</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December 2020 Exchange Agreement amended the Senior Secured Notes to provide that the failure of our common stock to remain listed on an eligible securities market will not constitute a “Major Transaction” unless such failure occurs after March 31, 2023.</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The December 2020 Exchange Agreement amended the Deerfield Facility Agreement in order to, among other things, (i) extend the maturity date of the Senior Secured Notes and the Deerfield Note to March 31, 2023, (ii) provide for cash payments of interest on the Loans (as defined in the Deerfield Facility Agreement) for the periods following July 1, 2021, and (iii) provide for specified prepayment terms on the Loans.</w:t>
      </w:r>
    </w:p>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December 2020 Exchange Agreement amended that certain Amended and Restated Investors’ Rights Agreement, dated as of February 19, 2015, or the IRA, by and among us, Deerfield and the other parties signatory thereto in order to, among other things, add Deerfield Special Situations Fund, L.P. as a party thereto and to give effect to the issuance of the Exchange Warrants and our registration obligations under the December 2020 Exchange Agreement (as described in more detail below).</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Exercise Warrants are subject to substantially the same terms and conditions as the Existing Warrants, with an exercise price equal to the exercise price per share of the Existing Warrants and will provide that the Holders will be limited from exercising such Exchange Warrants if, as a result of such exercise, such holders (together with certain affiliates and “group” members of such holders) would beneficially own more than 4.985% of the total number of shares of our common stock then issued and outstanding.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color w:val="auto"/>
        </w:rPr>
        <w:t>Pursuant to the terms of the December 2020 Exchange Agreement, we also filed a registration statement to register for resale under the Securities Act the shares of common stock issuable upon conversion of the shares of Series B-2 Preferred Stock and exercise of the Exchange Warrants.</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connection with the December 2020 Exchange Agreement, we filed an Amended and Restated Certificate of Designation of Preferences, Rights and Limitations of Series B-2 Convertible Preferred Stock, or the Amended and Restated Series B-2 Certificate of Designation, with the Secretary of State of the State Delaware, setting forth the preferences, rights and limitations of the Series B-2 Preferred Stock.</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shares of Series B-2 Preferred Stock were convertible into an aggregate of 4,842,690 shares of our common stock. Each share of Series B-2 Preferred Stock had an aggregate stated value of $1,000 and was convertible into shares of our common stock at a per share price equal to $6.4999 (subject to adjustment to reflect stock splits and similar events).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2021, all shares of Series B-2 Preferred Stock had been converted into common stock.</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In June 2021, we filed with the Secretary of State of the State of Delaware a Certificate of Elimination of Series B-2 Convertible Preferred Stock, eliminating from our Certificate of Incorporation the 31,480 shares designated as Series B-2 Convertible Preferred Stock.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December 2020 Exchange Agreement Amendment</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12, 2021, in connection with the transactions contemplated by the December 2020 Exchange Agreement, we entered into an Amendment to Senior Secured Convertible Notes and Amendment to Warrant, or the January 2021 Amendment, with the Deerfield Holders. The January 2021 Amendment modified certain specified terms of (i) the Facility Notes and (ii) the Deerfield Warrant to, among other things, exclude the transactions contemplated by the December 2020 Exchange Agreement and issuance of securities pursuant to the Underwriting Agreement from the anti-dilution provisions of the Facility Notes and the Deerfield Warrant.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B-2 Preferred Stock</w:t>
      </w:r>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On January 11, 2021, as a condition to closing of the transactions contemplated by the December 2020 Exchange Agreement, we filed an Amended and Restated Certificate of Designation of Preferences, Rights and Limitations of Series B-2 Convertible Preferred Stock, or the Series B-2 Certificate of Designation, with the Secretary of State of the State Delaware, setting forth the preferences, rights and limitations of the Series B-2 Preferred Stock.</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Payoff of Facility Agreement Notes and Termination of Facility Agreement</w:t>
      </w:r>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On February 8, 2021, we entered into a payoff letter with the Facility Agreement Note Holders, pursuant to which we agreed to pay off and thereby terminate the Facility Agreement.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Pursuant to the payoff letter, we paid a total of $8.0 million to the Facility Agreement Note Holders, representing the principal balance, accrued interest outstanding and a prepayment fee in repayment of our outstanding obligations under the Facility Agreement.</w:t>
      </w:r>
    </w:p>
    <w:p>
      <w:pPr>
        <w:spacing w:after="0" w:line="171"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Pursuant to the payoff letter, all outstanding indebtedness and obligations of us owing to the Facility Agreement Note Holders under the Facility Agreement have been paid in full. The Facility Agreement and the notes thereunder, as well as the security interests in the assets of us securing the Facility Agreement and note obligations, have been terminated. The Facility Agreement Note Holders will retain the warrants previously issued to them.</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six months ended June 30, 2021 and 2020 (in thousands):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233"/>
        </w:trPr>
        <w:tc>
          <w:tcPr>
            <w:tcW w:w="63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89"/>
              </w:rPr>
              <w:t>Six months ended June 30,</w:t>
            </w:r>
          </w:p>
        </w:tc>
      </w:tr>
      <w:tr>
        <w:trPr>
          <w:trHeight w:val="208"/>
        </w:trPr>
        <w:tc>
          <w:tcPr>
            <w:tcW w:w="63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r>
      <w:tr>
        <w:trPr>
          <w:trHeight w:val="208"/>
        </w:trPr>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w:t>
            </w:r>
          </w:p>
        </w:tc>
      </w:tr>
      <w:tr>
        <w:trPr>
          <w:trHeight w:val="215"/>
        </w:trPr>
        <w:tc>
          <w:tcPr>
            <w:tcW w:w="638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5"/>
        </w:trPr>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114,037</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2,836</w:t>
            </w:r>
          </w:p>
        </w:tc>
      </w:tr>
      <w:tr>
        <w:trPr>
          <w:trHeight w:val="208"/>
        </w:trPr>
        <w:tc>
          <w:tcPr>
            <w:tcW w:w="6380" w:type="dxa"/>
            <w:vAlign w:val="bottom"/>
          </w:tcPr>
          <w:p>
            <w:pPr>
              <w:spacing w:after="0"/>
              <w:rPr>
                <w:sz w:val="20"/>
                <w:szCs w:val="20"/>
                <w:color w:val="auto"/>
              </w:rPr>
            </w:pPr>
            <w:r>
              <w:rPr>
                <w:rFonts w:ascii="Arial" w:cs="Arial" w:eastAsia="Arial" w:hAnsi="Arial"/>
                <w:sz w:val="18"/>
                <w:szCs w:val="18"/>
                <w:color w:val="auto"/>
              </w:rPr>
              <w:t>Net increase in cash, cash equivalents and restricted cash</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127,973</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3,000</w:t>
            </w:r>
          </w:p>
        </w:tc>
      </w:tr>
      <w:tr>
        <w:trPr>
          <w:trHeight w:val="20"/>
        </w:trPr>
        <w:tc>
          <w:tcPr>
            <w:tcW w:w="6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For the six months ended June 30, 2021, net cash provided by operating activities of $14.0 million consisted of $18.0 million in adjustments for non-cash items and $0.1 million in changes in working capital, partially offset by a net loss of $4.1 million. The adjustments for non-cash items primarily consisted of a loss on extinguishment of debt of $16.1 million, stock-based compensation expense of $1.0 million, amortization of debt issuance costs and debt discount of $0.2 million, a change in the fair value adjustment related to derivative and warrant liabilities of $0.4 million and $0.4 million related to depreciation, amortization and other items. The changes in working capital consisted of $0.7 million related to a change in accounts and other receivables, $0.1 million related to a change in operating lease right-of-use assets and $2.5 million related to a change in other liabilities, partially offset by $1.7 million related to a change in accounts payable and accrued expenses, $0.2 million related to a change in operating lease liabilities and $1.3 million related to a change in prepaid expenses and other assets. Net loss was primarily attributable to a loss on extinguishment of debt and our spending on research and development programs and operating costs, partially offset by revenue received under the KP415 License Agreement and the Corium Consulting Agreement.</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For the six months ended June 30, 2020, net cash provided by operating activities of $0.2 million consisted of $5.8 million in adjustments for non-cash items partially offset by a net loss of $4.9 million and $0.7 million in changes in working capital. The adjustments for non-cash items primarily consisted of stock-based compensation expense of $1.6 million, non-cash interest expense of $2.4 million, amortization of debt issuance costs and debt discount of $1.1 million, loss on sublease and disposal of property and equipment of $0.3 million and $0.4 million related to depreciation, amortization and other items partially offset by non-cash income related to the change in the fair value of our derivative and warrant liabilities of $0.1 million. Net loss was primarily attributable to our spending on research and development programs and operating costs, partially offset by revenue received under the KP415 License Agreement. The changes in working capital consisted of $0.9 million related to a change in accounts payable and accrued expenses, $0.2 million related to a change in accounts and other receivables and $0.1 million related to operating lease liabilities, partially offset by $0.5 million related to a change in prepaid expenses and other assets and $0.1 million related to operating lease right-of-use assets and other liabilities.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2021, net cash used in investing activities was $81,000, which was attributable to purchases of property and equipment.</w:t>
      </w: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For the six months ended June 30, 2020, net cash used in investing activities was $7,000, which was attributable to purchases of property and equipment.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For the six months ended June 30, 2021, net cash provided by financing activities was $114.0 million, which was primarily attributable to net proceeds from sales of our common stock under the Public Offering of $49.3 million, net proceeds from the January 2021 Inducement Transaction of $41.4 million, net proceeds from the June 2021 Inducement Transaction of $35.6 million and net proceeds from the exercise of common stock warrants of $29.8 million, partially offset by payment of offering costs of $1.1 million, repayment of principal on finance lease liabilities of $0.1 million, payment of debt issuance costs of $2.9 million and repayment of principal on convertible notes of $37.9 million.</w:t>
      </w:r>
    </w:p>
    <w:p>
      <w:pPr>
        <w:spacing w:after="0" w:line="174"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For the six months ended June 30, 2020, net cash provided by financing activities was $2.8 million, which was primarily attributable to proceeds from sales of our common stock under the 2020 ELOC Agreement of $2.3 million and proceeds from the PPP loan of $0.8 million, partially offset by repayment of principal on finance lease liabilities of $0.1 million and payment of debt issuance and deferred offerings costs of $0.1 million.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Funding Requirements</w:t>
      </w:r>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Based on our current operating forecast, we believe that our existing cash resources will be sufficient to fund our operations for at least twelve months following the date we file this quarterly report. This estimate does not include our projected revenue, a portion of which is based on royalties from commercial sales and upon the achievement of milestones in the KP415 License Agreement and the APADAZ License Agreement. Certain of the milestones are associated with regulatory matters that are outside our control.</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Potential near-term sources of additional funding include:</w:t>
      </w:r>
    </w:p>
    <w:p>
      <w:pPr>
        <w:spacing w:after="0" w:line="223" w:lineRule="exact"/>
        <w:rPr>
          <w:sz w:val="20"/>
          <w:szCs w:val="20"/>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revenues generated under either the KP415 License Agreement or the APADAZ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KP415 License Agreement;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consulting services revenue or short-term milestone payments generated under the Corium Consulting Agreement;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consulting services revenue generated under other potential consulting arrangements.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cannot guarantee that we will be able to generate sufficient proceeds from any of these potential sources to fund our operating expenses.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To date, we have generated revenue from the non-refundable upfront payment, regulatory milestone payments, reimbursements of out-of-pocket third-party research and development costs and consulting services under the KP415 License Agreement, consulting services, and associated out-of-pocket third-party costs, under the Corium Consulting Agreement and consulting services under other consulting arrangements. We expect that our only sources of revenues will be through payments arising from the KP415 License Agreement, the APADAZ License Agreement, the Corium Consulting Agreement, or through other potential consulting arrangements and any other future arrangements related to one of our product candidates. While we have entered into the APADAZ License Agreement to commercialize APADAZ in the United States, and entered into the KP415 License Agreement to develop, manufacture and commercialize AZSTARYS and KP484, we cannot guarantee that this, or any strategy we adopt in the future, will be successful. For instance, we received milestone payments under the KP415 License Agreement, but we cannot guarantee that we will earn any additional milestone or royalty payments under this agreement in the future. We also expect to continue to incur additional costs associated with operating as a public company.</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March 2020, the World Health Organization declared the outbreak of COVID-19, a novel strain of Coronavirus,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The economic uncertainty surrounding the COVID-19 pandemic may also dramatically reduce our ability to secure debt or equity financing necessary to support our operations. We are unable to currently estimate the financial effect of the pandemic. If the pandemic continues to be a severe worldwide crisis, it could have a material adverse effect on our business, results of operations, financial condition, and cash flows.</w:t>
      </w:r>
    </w:p>
    <w:p>
      <w:pPr>
        <w:spacing w:after="0" w:line="16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have based our estimates of our cash needs and cash runway on assumptions that may prove to be wrong, and we may use our available capital resources sooner than we currently expect and we cannot guarantee that we will be able to generate sufficient proceeds from the KP415 License Agreement, the APADAZ License Agreement, the Corium Consulting Agreement, and other potential consulting arrangements or other funding transactions to fund our operating expenses. To meet any additional cash requirements, we may seek to sell additional equity or convertible securities that may result in dilution to our stockholders, issue additional debt or seek other third-party funding, including potential strategic transactions, such as licensing or collaboration arrangements. Because of the numerous risks and uncertainties associated with the development and commercialization of product candidates and products, we are unable to estimate the amounts of increased capital outlays and operating expenditures necessary to complete the commercialization and development of our partnered product or product candidates, should they obtain regulatory approval.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During the periods presented, we did not have, nor do we currently have, any off-balance sheet arrangements as defined under SEC rules.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2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This management’s discussion and analysis of our financial condition and results of operations is based on our unaudited condensed financial statements, which we have prepared in accordance with accounting principles generally accepted in the United States. The preparation of our unaudited condensed financial statements requires us to make estimates and assumptions that affect the reported amounts of assets and liabilities and the disclosure of contingent assets and liabilities at the date of our unaudited condensed financial statements, as well as the reported revenues and expenses during the reported periods. We evaluate these estimates and judgments on an ongoing basis.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64"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 xml:space="preserve">Our critical accounting policies have not changed materially from those described in </w:t>
      </w:r>
      <w:r>
        <w:rPr>
          <w:rFonts w:ascii="Arial" w:cs="Arial" w:eastAsia="Arial" w:hAnsi="Arial"/>
          <w:sz w:val="16"/>
          <w:szCs w:val="16"/>
          <w:i w:val="1"/>
          <w:iCs w:val="1"/>
          <w:color w:val="auto"/>
        </w:rPr>
        <w:t>Item 7 - Management's Discussion and Analysis of Financial Condition</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and Results of Operations </w:t>
      </w:r>
      <w:r>
        <w:rPr>
          <w:rFonts w:ascii="Arial" w:cs="Arial" w:eastAsia="Arial" w:hAnsi="Arial"/>
          <w:sz w:val="16"/>
          <w:szCs w:val="16"/>
          <w:color w:val="auto"/>
        </w:rPr>
        <w:t>of our Annual Report on Form 10-K for the fiscal year ended December 31, 2020, filed with the SEC on March 12, 2021.</w:t>
      </w:r>
    </w:p>
    <w:p>
      <w:pPr>
        <w:spacing w:after="0" w:line="12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w:t>
      </w:r>
    </w:p>
    <w:p>
      <w:pPr>
        <w:spacing w:after="0" w:line="191" w:lineRule="exact"/>
        <w:rPr>
          <w:sz w:val="20"/>
          <w:szCs w:val="20"/>
          <w:color w:val="auto"/>
        </w:rPr>
      </w:pPr>
    </w:p>
    <w:p>
      <w:pPr>
        <w:jc w:val="both"/>
        <w:ind w:right="20"/>
        <w:spacing w:after="0" w:line="310" w:lineRule="auto"/>
        <w:rPr>
          <w:sz w:val="20"/>
          <w:szCs w:val="20"/>
          <w:color w:val="auto"/>
        </w:rPr>
      </w:pPr>
      <w:r>
        <w:rPr>
          <w:rFonts w:ascii="Arial" w:cs="Arial" w:eastAsia="Arial" w:hAnsi="Arial"/>
          <w:sz w:val="16"/>
          <w:szCs w:val="16"/>
          <w:color w:val="auto"/>
        </w:rPr>
        <w:t>Our management, with the participation of our chief executive officer and our chief financial officer, evaluated the effectiveness of our disclosure controls and procedures as of June 30, 2021. Based on the evaluation of our disclosure controls and procedures as of June 30, 2021, our chief executive officer and our chief financial officer concluded that, as of such date, our disclosure controls and procedures were effective at the reasonable assurance level.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There was no change in our internal control over financial reporting identified in connection with the evaluation required by Rules 13a-15(d) and 15d-15(d) of the Exchange Act that occurred during our fiscal quarter ended June 30, 2021 that materially affected, or is reasonably likely to materially affect, our internal control over financial reporting.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OTHER INFORMATION</w:t>
      </w:r>
    </w:p>
    <w:p>
      <w:pPr>
        <w:spacing w:after="0" w:line="204"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LEGAL PROCEEDINGS</w:t>
      </w:r>
    </w:p>
    <w:p>
      <w:pPr>
        <w:spacing w:after="0" w:line="22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From time to time, we may be involved in routine legal proceedings, as well as demands, claims and threatened litigation, which arise in the normal course of our business. We believe there is no litigation pending that would reasonably be expected to, individually or in the aggregate, have a material adverse effect on our results of operations or financial condition.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You should carefully consider all the risk factors and uncertainties described below, in addition to other information contained in this Quarterly Report on Form 10-Q, including the section of this report titled “Management’s Discussion and Analysis of Financial Condition and Results of Operations” and our unaudited condensed financial statements and related notes, before investing in our common stock. If any of the following risks materialize, our business, financial condition and results of operations could be seriously harmed. This Quarterly Report on Form 10-Q also contains forward-looking statements that involve risks and uncertainties. Our actual results could differ materially from those anticipated in the forward-looking statements because of factors that are described below and elsewhere in this Quarterly Report on Form 10-Q.</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Development of Our Product Candidates</w:t>
      </w:r>
    </w:p>
    <w:p>
      <w:pPr>
        <w:spacing w:after="0" w:line="227"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If commercialization of AZSTARYS, APADAZ or any of our other product candidates, if approved, are not successful, or we experience significant delays in commercialization, our business will be harmed.</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We currently generate no commercial revenue from the sale of any prodrugs and we may never be able to successfully commercialize a prodrug product. For instance, we entered into the KP415 License Agreement with Commave pursuant to which we granted an exclusive, worldwide license to Commave to develop, manufacture and commercialize AZSTARYS and KP484 worldwide. We cannot guarantee that Commave will be able to successfully develop, manufacture or commercialize AZSTARYS or KP484 or that we will ever receive any future payments under the KP415 License Agreement.</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also entered into the APADAZ License Agreement with KVK pursuant to which we granted an exclusive license to KVK to commercialize APADAZ in the United States, but we cannot guarantee that KVK will be able to successfully commercialize APADAZ or that we will ever receive any payments under the APADAZ License Agreement from commercial sales of APADAZ.</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invested substantially all our efforts and financial resources in the development of our proprietary LAT technology, the identification of potential product candidates and the development of our product candidates. Our ability to generate revenue from APADAZ under the APADAZ License Agreement, AZSTARYS under the KP415 License Agreement and generate revenue from any of our other product candidates will depend heavily on their successful development and eventual commercialization. The success of AZSTARYS, APADAZ and any of our other product candidates will depend on several factors, including:</w:t>
      </w:r>
    </w:p>
    <w:p>
      <w:pPr>
        <w:spacing w:after="0" w:line="190" w:lineRule="exact"/>
        <w:rPr>
          <w:sz w:val="20"/>
          <w:szCs w:val="20"/>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completion of preclinical studies and requisite clinical trials;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completion and achievement of endpoints in our clinical trials;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demonstration that the risks involved with AZSTARYS, APADAZ and any of our other product candidates are outweighed by the benefits;</w:t>
      </w:r>
    </w:p>
    <w:p>
      <w:pPr>
        <w:spacing w:after="0" w:line="234" w:lineRule="exact"/>
        <w:rPr>
          <w:rFonts w:ascii="Arial" w:cs="Arial" w:eastAsia="Arial" w:hAnsi="Arial"/>
          <w:sz w:val="17"/>
          <w:szCs w:val="17"/>
          <w:color w:val="auto"/>
        </w:rPr>
      </w:pPr>
    </w:p>
    <w:p>
      <w:pPr>
        <w:jc w:val="both"/>
        <w:ind w:left="660" w:hanging="330"/>
        <w:spacing w:after="0" w:line="262"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development of our manufacturing processes for AZSTARYS under the KP415 License Agreement, APADAZ under the APADAZ License Agreement and for any of our other product candidates, including entering into and maintaining arrangements with third-party manufacturers;</w:t>
      </w:r>
    </w:p>
    <w:p>
      <w:pPr>
        <w:spacing w:after="0" w:line="18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successful completion of an FDA preapproval inspection of the facilities used to manufacture AZSTARYS, APADAZ and any of our other product candidates, as well as select clinical trial sites;</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receipt of timely marketing approvals from applicable regulatory authorities, including, if applicable, the determination by the DEA of the controlled substance schedule for a product candidate, taking into account the recommendation of the FDA;</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differentiating claims in the labels for our product candidates;</w:t>
      </w:r>
    </w:p>
    <w:p>
      <w:pPr>
        <w:spacing w:after="0" w:line="22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patent, trademark and trade secret protection and regulatory exclusivity for AZSTARYS, APADAZ and any of our other product candidates and otherwise protecting our rights in our intellectual property portfolio;</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compliance with regulatory requirements, including cGMPs;</w:t>
      </w:r>
    </w:p>
    <w:p>
      <w:pPr>
        <w:spacing w:after="0" w:line="222" w:lineRule="exact"/>
        <w:rPr>
          <w:rFonts w:ascii="Arial" w:cs="Arial" w:eastAsia="Arial" w:hAnsi="Arial"/>
          <w:sz w:val="18"/>
          <w:szCs w:val="18"/>
          <w:color w:val="auto"/>
        </w:rPr>
      </w:pPr>
    </w:p>
    <w:p>
      <w:pPr>
        <w:ind w:left="660" w:hanging="330"/>
        <w:spacing w:after="0" w:line="339"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launching commercial sales of AZSTARYS under the KP415 License Agreement, APADAZ under the APADAZ License Agreement and launching commercial sales of any of our other product candidates, if and when approved, whether alone or in collaboration with Commave or others;</w:t>
      </w:r>
    </w:p>
    <w:p>
      <w:pPr>
        <w:spacing w:after="0" w:line="125" w:lineRule="exact"/>
        <w:rPr>
          <w:rFonts w:ascii="Arial" w:cs="Arial" w:eastAsia="Arial" w:hAnsi="Arial"/>
          <w:sz w:val="16"/>
          <w:szCs w:val="16"/>
          <w:color w:val="auto"/>
        </w:rPr>
      </w:pPr>
    </w:p>
    <w:p>
      <w:pPr>
        <w:ind w:left="660" w:hanging="330"/>
        <w:spacing w:after="0" w:line="27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acceptance of AZSTARYS, APADAZ and any of our other product candidates, if approved, by patients, the medical community and third-party payors;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competing effectively with other therapies;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obtaining and maintaining healthcare coverage and adequate reimbursement; and</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maintaining a continued acceptable safety and efficacy profile of the prodrug products following approval.</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Whether regulatory approval will be granted is unpredictable and depends upon numerous factors, including the substantial discretion of the regulatory authorities. If, following submission, our NDA for a product candidate is not accepted for substantive review or approval, the FDA or other comparable foreign regulatory authorities may require that we conduct additional studies or clinical trials, provide additional data, take additional manufacturing steps or require other conditions before they will reconsider our application. If the FDA or other comparable foreign regulatory authorities require additional studies, clinical trials or data, we would incur increased costs and delays in the marketing approval process, which may require us to expend more resources than we have available. In addition, the FDA or other comparable foreign regulatory authorities may not consider sufficient any additional required studies, clinical trials, data or information that we perform and complete or generate, or we may decide to abandon the program.</w:t>
      </w:r>
    </w:p>
    <w:p>
      <w:pPr>
        <w:spacing w:after="0" w:line="16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It is possible that none of our product candidates in clinical development or any of our future product candidates will ever obtain regulatory approval, even if we expend substantial time and resources seeking such approval.</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KVK could experience an inability to successfully commercialize APADAZ, Corium could experience an inability to successfully commercialize AZSTARYS or any of our other product candidates covered by the KP415 License Agreement, if approved, or we could experience an inability to successfully commercialize any of our other product candidates approved for marketing in the future, if any, which would harm our business.</w:t>
      </w:r>
    </w:p>
    <w:p>
      <w:pPr>
        <w:spacing w:after="0" w:line="18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research and development activities are focused on discovering and developing proprietary prodrugs, and we are taking an innovative approach to discovering and developing prodrugs, which may never lead to marketable prodrug products.</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key element of our strategy is to use our proprietary LAT technology to build a pipeline of prodrugs and progress product candidates based on these prodrugs through clinical development for the treatment of a variety of diseases and conditions. The scientific discoveries that form the basis for our efforts to discover and develop prodrugs are relatively new. As our scientific efforts are primarily focused on discovering novel prodrugs with new molecular structures, the evidence to support the feasibility of developing product candidates based on these discoveries is both preliminary and limited. Although our research and development efforts to date have resulted in a pipeline of prodrug product candidates, we may not be able to develop those product candidates into prodrugs that are bioequivalent, safe and effective and that have commercially significant improvements over already approved drugs. Even if we are successful in continuing to build our pipeline, the potential product candidates that we identify may not be suitable for clinical development, for reasons including being shown to have harmful side effects, a lack of efficacy, or other characteristics that indicate that they are unlikely to be prodrugs that will receive marketing approval and achieve market acceptance. If APADAZ and AZSTARYS are not successfully commercialized under our APADAZ License Agreement or KP415 License Agreement and we do not successfully develop and commercialize any of our other product candidates based upon our proprietary LAT technology, we will not be able to obtain product revenue in future periods, which likely would result in significant harm to our financial position and adversely affect our stock price.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If we are not able to obtain required regulatory approvals for any of our product candidates, or the approved labels are not sufficiently differentiated from other competing products, we will not be able to commercialize them and our ability to generate revenue or profits or to raise future capital could be limited.</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research, testing, manufacturing, labeling, packaging, storage, approval, sale, marketing, advertising and promotion, pricing, export, import and distribution of drug products are subject to extensive regulation by the FDA and other regulatory authorities in the United States and other countries, which regulations differ from country to country and change over time. We are not permitted to market any of our product candidates in the United States until we receive approval of an NDA from the FDA, or in any foreign countries until we receive the requisite approvals in such countries. In the United States, the FDA generally requires the completion of non-clinical testing and clinical trials of each drug to establish its safety and efficacy and extensive pharmaceutical development to ensure its quality and other factors before an NDA is approved. Regulatory authorities in other jurisdictions impose similar requirements. Of the large number of drugs in development, only a small percentage result in the submission of an NDA to the FDA and even fewer are approved for commercialization.</w:t>
      </w:r>
    </w:p>
    <w:p>
      <w:pPr>
        <w:spacing w:after="0" w:line="18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Even if regulatory approval is obtained, subsequent safety, efficacy, quality or other issues can result in a product approval being suspended or withdrawn, or the approved label for any approved product may not be sufficiently differentiated from other competing products to support market adoption thereof. On March 2, 2021, we announced that the FDA approved the NDA for AZSTARYS, a once-daily product for the treatment of ADHD in patients ranging from six years and older. In February 2018, we announced that the FDA approved the NDA for APADAZ for the short-term (no more than 14 days) management of acute pain severe enough to require an opioid analgesic and for which alternative treatments are inadequate. Even with the regulatory approval of AZSTARYS and APADAZ by the FDA, we cannot guarantee that the FDA will approve any of our other product candidates for commercial sale or approve any proposed label we may have for any such product candidate. If our development efforts for our product candidates, including regulatory approval, are not successful for their planned indications or are delayed, or if adequate demand for our product candidates that are approved for marketing, if any, is not generated, our business will be harmed.</w:t>
      </w:r>
    </w:p>
    <w:p>
      <w:pPr>
        <w:spacing w:after="0" w:line="178"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success of our product candidates will depend on the receipt and maintenance of regulatory approval and the issuance and maintenance of such approval is uncertain and subject to a number of risks, including the following:</w:t>
      </w:r>
    </w:p>
    <w:p>
      <w:pPr>
        <w:spacing w:after="0" w:line="171" w:lineRule="exact"/>
        <w:rPr>
          <w:sz w:val="20"/>
          <w:szCs w:val="20"/>
          <w:color w:val="auto"/>
        </w:rPr>
      </w:pPr>
    </w:p>
    <w:p>
      <w:pPr>
        <w:ind w:left="460" w:right="2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institutional review boards, or IRBs, or ethics committees may disagree with the design or conduct of our clinical trials;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results of our clinical trials may not meet the level of statistical or clinical significance required by the FDA or other regulatory agencies for marketing approval or for us to receive approval for claims that are necessary for commercialization;</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dosing in a particular clinical trial may not be at an optimal level;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patients in our clinical trials may suffer adverse effects for reasons that may or may not be related to our product candidates;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data collected from clinical trials may not be sufficient to support submissions to regulatory authorities or to obtain regulatory approval in the United States or elsewhere;</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 or may later suspend or withdraw such approval;</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and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even if we obtain marketing approval in one or more countries, future safety or other issues could result in the suspension or withdrawal of regulatory approval in such countries.</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have only limited experience in filing the applications necessary to gain regulatory approvals and have relied, and expect to continue to rely, on consultants and third-party contract research organizations, or CROs, with expertise in this area to assist us in this process. Securing FDA approval requires the submission of extensive non-clinical and clinical data, information about product manufacturing processes and inspection of facilities and supporting information to the FDA for each therapeutic indication to establish a product candidate’s safety and efficacy for each indication and manufacturing quality. Additionally, we cannot guarantee that regulators will agree with our assessment of the results of the clinical trials we have conducted or that any future trials will be successful.</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Any product candidates we develop may prove to have undesirable or unintended side effects, toxicities or other characteristics that may preclude our obtaining regulatory approval or prevent or limit commercial use with respect to one or all intended indications.</w:t>
      </w:r>
    </w:p>
    <w:p>
      <w:pPr>
        <w:spacing w:after="0" w:line="171"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The process of obtaining regulatory approvals is expensive, often takes many years, if approval is obtained at all, and can vary substantially based upon, among other things, the type, complexity and novelty of the product candidates involved, the jurisdiction in which regulatory approval is sought and the substantial discretion of the regulatory authorities. Changes in the regulatory approval policy during the development period, changes in or the enactment of additional statutes or regulations, or changes in regulatory review for a submitted product application may cause delays in the approval or rejection of an application or may result in future withdrawal of approval. Regulatory approval obtained in one jurisdiction does not necessarily mean that a product candidate will receive regulatory approval in all jurisdictions in which we may seek approval, but the failure to obtain approval in one jurisdiction may negatively impact our ability to seek approval in a different jurisdiction. Failure to obtain regulatory marketing approval of our product candidates in any indication will prevent us from commercializing those product candidates for that indication, and our ability to generate revenue will be impaired.</w:t>
      </w:r>
    </w:p>
    <w:p>
      <w:pPr>
        <w:sectPr>
          <w:pgSz w:w="11900" w:h="16838" w:orient="portrait"/>
          <w:cols w:equalWidth="0" w:num="1">
            <w:col w:w="11240"/>
          </w:cols>
          <w:pgMar w:left="320" w:top="125" w:right="339" w:bottom="1130" w:gutter="0" w:footer="0" w:header="0"/>
        </w:sectPr>
      </w:pP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130" w:gutter="0" w:footer="0" w:header="0"/>
          <w:type w:val="continuous"/>
        </w:sectPr>
      </w:pPr>
    </w:p>
    <w:bookmarkStart w:id="60" w:name="page61"/>
    <w:bookmarkEnd w:id="60"/>
    <w:p>
      <w:pPr>
        <w:jc w:val="both"/>
        <w:spacing w:after="0" w:line="262"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ability of the FDA to review and or approve new products can be affected by a variety of factors, including government budget and funding levels, statutory, regulatory, and policy changes, the FDA’s ability to hire and retain key personnel and accept the payment of user fees, and other events that may otherwise affect the FDA’s ability to perform routine functions. Average review times at the agency have fluctuated in recent years as a result.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biologics to be reviewed and/or approved by necessary government agencies, which would adversely affect our business. For example, over the last several years, including for 35 days beginning on December 22, 2018, the U.S. government has shut down several times and certain regulatory agencies, such as the FDA, have had to furlough critical FDA employees and stop critical activities.</w:t>
      </w:r>
    </w:p>
    <w:p>
      <w:pPr>
        <w:spacing w:after="0" w:line="182"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Separately, in response to the COVID-19 pandemic, in March 2020 the FDA announced its intention to postpone most foreign and domestic inspections of manufacturing facilities and products, and subsequently, in July 2020, restarted routine surveillance inspections of domestic manufacturing facilities on a risk-based basis. Regulatory authorities outside the United States have adopted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6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If we, subject to the approval of Commave, or Commave themselves attempt to rely on Section 505(b)(2) of the Federal Food, Drug and Cosmetic Act and the FDA does not conclude that our product candidates are sufficiently bioequivalent, or have comparable bioavailability, to approved drugs, or if the FDA does not allow us or Commave to pursue the 505(b)(2) NDA pathway as anticipated, the approval pathway for our product candidates will likely take significantly longer, cost significantly more and entail significantly greater complications and risks than anticipated, and the FDA may not ultimately approve our product candidates.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 key element of our strategy is to seek FDA approval for most of our product candidates under Section 505(b)(2) of the Federal Food, Drug and Cosmetic Act, otherwise known as the 505(b)(2) NDA pathway with any NDA submitted thereunder a 505(b)(2) NDA, where possible. The 505(b)(2) NDA pathway permits the filing of an NDA where at least some of the information required for approval comes from studies not conducted by or for the applicant and for which the applicant has not obtained a right of reference. Such reliance is typically predicated on a showing of bioequivalence or comparable bioavailability to an approved drug.</w:t>
      </w:r>
    </w:p>
    <w:p>
      <w:pPr>
        <w:spacing w:after="0" w:line="19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If the FDA does not allow us to pursue the 505(b)(2) NDA pathway as anticipated, or if we cannot demonstrate bioequivalence or comparable bioavailability of our product candidates to approved products, we may need to conduct additional clinical trials, provide additional data and information, and meet additional standards for regulatory approval. Moreover, even if the FDA does allow us to pursue the 505(b)(2) NDA pathway, depending on the product candidate, we may still need to conduct additional clinical trials, including clinical trials to assess product safety or efficacy. For instance, subject to Commave approval, we currently plan on relying on the 505(b)(2) pathway for any NDA submitted for KP484. However, we do not anticipate that the 505(b)(2) pathway will be available for every product candidate. For instance, it is possible we will only be permitted to utilize the 505(b)(2) NDA pathway for either AZSTARYS or KP484, but not both. We utilized the 505(b)(2) NDA pathway for the AZSTARYS NDA which was approved on March 2, 2021. If this were to occur, the time and financial resources required to obtain FDA approval for our product candidates, and complications and risks associated with our product candidates, would likely substantially increase.</w:t>
      </w:r>
    </w:p>
    <w:p>
      <w:pPr>
        <w:spacing w:after="0" w:line="17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Moreover, our inability to pursue the 505(b)(2) NDA pathway could result in new competitive products reaching the market more quickly than our product candidates, which could hurt our competitive position and our business prospects. Even if we are allowed to pursue the 505(b)(2) NDA pathway, we cannot assure you that our product candidates will receive the requisite approvals for commercialization on a timely basis, if at all. Other companies may achieve product approval of similar products before we do, which would delay our ability to obtain product approval, expose us to greater competition, and would require that we seek approval via alternative pathways, such as an abbreviated new drug application, or ANDA, which is used for the development of generic drug products.</w:t>
      </w:r>
    </w:p>
    <w:p>
      <w:pPr>
        <w:spacing w:after="0" w:line="19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addition, notwithstanding the approval of several products by the FDA under 505(b)(2) over the last few years, pharmaceutical companies and others have objected to the FDA’s interpretation of 505(b)(2). If the FDA’s interpretation of 505(b)(2) is successfully challenged, the FDA may change its policies and practices with respect to 505(b)(2) regulatory approvals, which could delay or even prevent the FDA from approving any NDA that we submit under 505(b)(2).</w:t>
      </w:r>
    </w:p>
    <w:p>
      <w:pPr>
        <w:spacing w:after="0" w:line="18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Even if our product candidates are approved under 505(b)(2), the approval may be subject to limitations on the indicated uses for which the products may be marketed, including more limited subject populations than we request, may require that contraindications, warnings or precautions be included in the product labeling, including a boxed warning, may be subject to other conditions of approval, or may contain requirements for costly post-marketing clinical trials, testing and surveillance to monitor the safety or efficacy of the products, or other post-market requirements, such as a Risk Evaluation and Mitigation Strategy, or REMS. The FDA also may not approve a product candidate with a label that includes the labeling claims necessary or desirable for the successful commercialization of that product candidate. Based upon currently approved products, we anticipate that we will be required to conduct Phase 4 studies and to implement a REMS and will have a boxed warning for at least some of our product candidates, including APADAZ.</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The FDA may determine that any NDA we may submit under the 505(b)(2) regulatory pathway for any of our product candidates in the future is not sufficiently complete to permit a substantive review.</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If we were to submit an NDA under the 505(b)(2) regulatory for any of our product candidates, within 60 days of the agency’s receipt of our NDA, the FDA will make a threshold determination of whether the NDA is sufficiently complete to permit a substantive review. This 60-day review period is referred to as the filing review. If the NDA is sufficiently complete, the FDA will file the NDA. If the agency refuses to file the NDA, it will notify us and state the reason(s) for the refusal. The FDA may refuse to file our NDA for various reasons, including but not limited to, if:</w:t>
      </w:r>
    </w:p>
    <w:p>
      <w:pPr>
        <w:spacing w:after="0" w:line="172" w:lineRule="exact"/>
        <w:rPr>
          <w:sz w:val="20"/>
          <w:szCs w:val="20"/>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NDA is incomplete because it does not on its face contain the information required under the Federal Food, Drug and Cosmetic Act or the FDA’s regulations;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NDA does not contain a statement that each non-clinical laboratory study was conducted in compliance with good laboratory practices requirements, or for each study not so conducted, a brief statement of the reason for the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NDA does not contain a statement that each clinical trial was conducted in compliance with the IRB regulations or was not subject to those regulations, and the agency’s informed consent regulations or a brief statement of the reason for noncompliance; or</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drug is a duplicate of a listed drug approved before receipt of the NDA and is eligible for approval under an ANDA for generic drugs.</w:t>
      </w:r>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its procedures, the FDA has stated that it could find an NDA submitted under the Section 505(b)(2) regulatory pathway incomplete and refuse to file it if the NDA, among other reasons:</w:t>
      </w:r>
    </w:p>
    <w:p>
      <w:pPr>
        <w:spacing w:after="0" w:line="171" w:lineRule="exact"/>
        <w:rPr>
          <w:sz w:val="20"/>
          <w:szCs w:val="20"/>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fails to include appropriate literature or a listed drug citation to support the safety or efficacy of the drug product;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fails to include data necessary to support any aspects of the proposed drug that represent modifications to the listed drug(s) relied upon;</w:t>
      </w:r>
    </w:p>
    <w:p>
      <w:pPr>
        <w:spacing w:after="0" w:line="234"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fails to provide a bridge, for example by providing comparative bioavailability data, between the proposed drug product and the listed drug product to demonstrate that such reliance is scientifically justified;</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uses an unapproved drug as a reference product for the bioequivalence study;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fails to provide a patent certification or statement as required by the FDA’s regulations where the 505(b)(2) NDA relies on one or more listed drugs.</w:t>
      </w:r>
    </w:p>
    <w:p>
      <w:pPr>
        <w:spacing w:after="0" w:line="24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Additionally, the FDA will refuse to file an NDA if an approved drug with the same active moiety is entitled to five years of exclusivity, unless the exclusivity period has elapsed, or unless four years of the five-year period have elapsed, and the NDA contains a certification of patent invalidity or non-infringement. An active moiety is the molecule or ion, excluding those appended portions of the molecule that cause the drug to be an ester, salt (including a salt with hydrogen or coordination bond) or other noncovalent derivative (such as a complex, chelate, or clathrate) of the molecule, responsible for the therapeutic activity of the drug substance.</w:t>
      </w:r>
    </w:p>
    <w:p>
      <w:pPr>
        <w:spacing w:after="0" w:line="1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the FDA refuses to file an NDA submitted by us, we may amend the NDA and resubmit it. In such a case, the FDA will again review the NDA and determine whether it may be filed. There can be no assurance that the FDA will file any NDA submitted by us in the future. If the agency refuses to file an NDA, we will need to address the deficiencies cited by the FDA, which could substantially delay the review process.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4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risk of failure for our product candidates is high. It is impossible to predict when or if any of our current product candidates will prove effective or safe in humans and will receive regulatory approval. Before obtaining marketing approval from regulatory authorities for the sale of any product candidate, we must complete preclinical development and then conduct clinical trials to demonstrate the safety and efficacy of our product candidates in humans. Clinical testing is expensive, difficult to design and implement, can take many years to complete and is uncertain as to outcome. A failure of one or more clinical trials can occur at any stage of testing. The outcome of preclinical studies and early clinical trials may not be predictive of the success of later clinical trials, and interim results of a clinical trial do not necessarily predict final results. Interpretation of results from early, usually smaller, studies that suggest positive trends in some subjects, requires caution. Results from later stages of clinical trials enrolling more subjects may fail to show the desired safety and efficacy results or otherwise fail to be consistent with the results of earlier trials of the same product candidates. Later clinical trial results may not replicate earlier clinical trials for a variety of reasons, including differences in trial design, different trial endpoints, or lack of trial endpoints in exploratory studies, subject population, number of subjects, subject selection criteria, trial duration, drug dosage and formulation and lack of statistical power in the earlier studies.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products.</w:t>
      </w:r>
    </w:p>
    <w:p>
      <w:pPr>
        <w:spacing w:after="0" w:line="173"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We may experience numerous unforeseen events during, or as a result of, clinical trials that could delay or prevent our ability to receive marketing approval or commercialize our product candidates, including:</w:t>
      </w:r>
    </w:p>
    <w:p>
      <w:pPr>
        <w:spacing w:after="0" w:line="171" w:lineRule="exact"/>
        <w:rPr>
          <w:sz w:val="20"/>
          <w:szCs w:val="20"/>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conduct a clinical trial at a prospective trial site or amend clinical trial protocols as needed;</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CROs;</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clinical trials of our product candidates may produce negative or inconclusive results, including failure to demonstrate statistical significance in cases where that is required, and we may decide, or regulators may require us, to conduct additional clinical trials or abandon prodrug development programs;</w:t>
      </w:r>
    </w:p>
    <w:p>
      <w:pPr>
        <w:spacing w:after="0" w:line="18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number of subjects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third-party contractors may fail to comply with regulatory requirements or trial protocols, or meet their contractual obligations to us in a timely manner, or at all;</w:t>
      </w:r>
    </w:p>
    <w:p>
      <w:pPr>
        <w:spacing w:after="0" w:line="170"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regulators or IRBs may require that we or our investigators suspend or terminate clinical research for various reasons, including noncompliance with regulatory requirements or a finding that the participants are being exposed to unacceptable health risks;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 including if we are not able to pursue the 505(b)(2) NDA pathway for approval of our product candidates;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need to pay substantial application user fees, which we may not be able to afford;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may abandon our development program or programs based on the changing regulatory or commercial environment;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regulatory authorities may not agree with our trial design or implementation;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regulators or IRBs to suspend or terminate the trials.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are required to conduct additional clinical trials or other testing of our product candidates beyond those that we currently contemplate, if we are unable to successfully complete clinical trials of our product candidates or other testing, if the results of these trials or tests are not positive or are only modestly positive or if there are safety concerns, we may:</w:t>
      </w:r>
    </w:p>
    <w:p>
      <w:pPr>
        <w:spacing w:after="0" w:line="182" w:lineRule="exact"/>
        <w:rPr>
          <w:sz w:val="20"/>
          <w:szCs w:val="20"/>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but without the claims necessary for us to successfully commercialize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obtain approval with labeling that includes significant use or distribution restrictions or safety warnings;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be subject to additional post-marketing testing, surveillance, or other requirements, such as REMS;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prodrug development costs may also increase if we experience delays in testing or obtaining marketing approvals. Additionally, if we do not successfully develop any product candidates subject to the KP415 License Agreement, we may not be eligible to receive any future payments under the KP415 License Agreement. We do not know whether any of our preclinical studies or clinical trials will begin as planned, will need to be restructured or will be completed on schedule, or at all. Significant preclinical study or clinical trial delays also could shorten any periods during which we may have the exclusive right to commercialize our product candidates or allow our competitors to bring products to market before we do and impair our ability to successfully commercialize our product candidates.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methods of product candidate manufacturing or formulation may result in additional costs or delay.</w:t>
      </w:r>
    </w:p>
    <w:p>
      <w:pPr>
        <w:spacing w:after="0" w:line="223"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As product candidates are developed through preclinical studies to late-stage clinical trials towards approval and commercialization, various aspects of the development program, such as manufacturing methods and formulation, may be altered along the way in an effort to optimize processes and results. Such changes may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the repetition of one or more clinical trials, increase clinical trial costs, delay approval of our product candidates and jeopardize our ability to commence product sales and generate revenue.</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decision to seek approval of our product candidates under the 505(b)(2) NDA pathway, if available, may increase the risk that patent infringement suits are filed against us, which would delay the FDA</w:t>
      </w:r>
      <w:r>
        <w:rPr>
          <w:rFonts w:ascii="Arial" w:cs="Arial" w:eastAsia="Arial" w:hAnsi="Arial"/>
          <w:sz w:val="18"/>
          <w:szCs w:val="18"/>
          <w:color w:val="auto"/>
        </w:rPr>
        <w:t>’</w:t>
      </w:r>
      <w:r>
        <w:rPr>
          <w:rFonts w:ascii="Arial" w:cs="Arial" w:eastAsia="Arial" w:hAnsi="Arial"/>
          <w:sz w:val="18"/>
          <w:szCs w:val="18"/>
          <w:b w:val="1"/>
          <w:bCs w:val="1"/>
          <w:i w:val="1"/>
          <w:iCs w:val="1"/>
          <w:color w:val="auto"/>
        </w:rPr>
        <w:t>s approval of such product candidates.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Regarding any NDA that we may submit under the 505(b)(2) NDA pathway, if there are patents that claim the approved drug contained in our product candidates and referenced in our 505(b)(2) NDA, we must certify to the FDA and notify the patent holder that any patents listed for the approved drug in the FDA’s Orange Book publication are invalid, unenforceable or will not be infringed by the manufacture, use or sale of our prodrug. If a patent infringement lawsuit is filed against us within 45 days of its receipt of notice of our certification, the FDA is automatically prevented from approving our 505(b)(2) NDA until the earliest of 30 months, expiration of the patent, settlement of the lawsuit or a court decision in the infringement case that is favorable to us, or such shorter or longer period as may be ordered by a court. Such actions are routinely filed by patent owners. Accordingly, we may invest considerable time and expense in the development of our product candidates only to be subject to significant delay and patent litigation before our product candidates may be commercialized. We may not be successful in defending any patent infringement claim. Even if we are found not to infringe, or a plaintiff’s patent claims are found invalid or unenforceable, defending any such infringement claim would be expensive and time-consuming, and would delay launch of our product candidates and distract management from their normal responsibilities.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AZSTARYS, APADAZ and certain of our other product candidates contain controlled substances, the manufacture, use, sale, importation, exportation, prescribing and distribution of which are subject to regulation by the DEA.</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Before we can commercialize any of our products or product candidates, if approved, the DEA will need to determine the controlled substance schedule, taking into account the recommendation of the FDA. This may be a lengthy process that could delay our marketing of a product candidate and could potentially diminish any regulatory exclusivity periods for which we may be eligible. The DEA determined APADAZ and AZSTARYS to be Schedule II drugs. In addition, the DEA scheduled SDX, the prodrug present within AZSTARYS, and determined it to be a Schedule IV drug. We expect that most of our other product candidates, including KP484, KP879 and KP1077, if approved, will be regulated as “controlled substances” as defined in the CSA and the implementing regulations of the DEA, which establish registration, security, recordkeeping, reporting, storage, distribution, importation, exportation, inventory, quota and other requirements administered by the DEA. These requirements are applicable to us, to our contract manufacturers and to distributors, prescribers and dispensers of our product candidates. The DEA regulates the handling of controlled substances through a closed chain of distribution. This control extends to the equipment and raw materials used in their manufacture and packaging, in order to prevent loss and diversion into illicit channels of commerce. A number of states and foreign countries also independently regulate these drugs as controlled substances.</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Schedule II drugs are those that meet the following characteristics:</w:t>
      </w:r>
    </w:p>
    <w:p>
      <w:pPr>
        <w:spacing w:after="0" w:line="185" w:lineRule="exact"/>
        <w:rPr>
          <w:sz w:val="20"/>
          <w:szCs w:val="20"/>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drug has a high potential for abuse;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drug has a currently accepted medical use in treatment in the United States or a currently accepted medical use with severe restrictions; and</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abuse of the drug may lead to severe psychological or physical dependence.</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expect that most of our current product candidates may be listed by the DEA as Schedule II controlled substances under the CSA. If our product candidates are listed as Schedule II controlled substances, then the importation of the APIs for our product candidates, as well as the manufacture, shipping, storage, sales and use of the products, will be subject to a high degree of regulation. In addition to maintaining an importer and/or exporter registration, importers and exporters of controlled substances must obtain a permit for every import of a Schedule I or II substance and a narcotic substance in Schedule III, IV and V, as well as every export of a Schedule I or II substance and a narcotic substance in Schedule III and IV. For all other drugs in Schedule III, IV and V, importers and exporters must submit an import or export declaration. Schedule II drugs are subject to the strictest requirements for registration, security, recordkeeping and reporting. Also, distribution and dispensing of these drugs are highly regulated. For example, all Schedule II drug prescriptions must be signed by a physician, physically presented to a pharmacist and may not be refilled without a new prescription. Electronic prescriptions may also be permissible depending on the state, so long as the prescription complies with the DEA’s requirements for electronic prescriptions.</w:t>
      </w:r>
    </w:p>
    <w:p>
      <w:pPr>
        <w:spacing w:after="0" w:line="170"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Controlled substances classified in Schedule III, IV, and V are also subject to registration, recordkeeping, reporting and security requirements. For example, Schedule III drug prescriptions must be authorized by a physician and may not be refilled more than six months after the date of the original prescription or more than five times. A prescription for controlled substances classified in Schedules III, IV and V issued by a physician, may be communicated either orally, in writing or by facsimile to the pharmacies. Controlled substances that are also classified as narcotics, such as hydrocodone, oxycodone and hydromorphone, are also subject to additional DEA requirements, such as manufacturer reporting of the import of narcotic raw material.</w:t>
      </w:r>
    </w:p>
    <w:p>
      <w:pPr>
        <w:spacing w:after="0" w:line="15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Annual registration is required for any facility that manufactures, distributes, dispenses, imports or exports any controlled substance. The registration is specific to the particular location, activity and controlled substance schedule. For example, separate registrations are needed for import and manufacturing, and each registration will specify which schedules of controlled substances are authorized. Similarly, separate registrations are also required for separate facilities. Acquisition and distribution transactions must also be reported for Schedule I and II controlled substances, as well as Schedule III narcotic substances.</w:t>
      </w:r>
    </w:p>
    <w:p>
      <w:pPr>
        <w:spacing w:after="0" w:line="1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a DEA quota system controls and limits the availability and production of controlled substances in Schedule I or II. Because most of our product candidates may be regulated as Schedule II controlled substances, they may be subject to the DEA’s production and procurement quota scheme. The DEA establishes annually an aggregate quota for how much of a controlled substance may be produced in total in the United States based on the DEA’s estimate of the quantity needed to meet legitimate scientific and medicinal needs. Manufacturers of Schedule I and II controlled substances are required to apply for quotas on an annual basis. If we or our contract manufacturers or suppliers do not obtain a sufficient quota from the DEA, we may not be able to obtain sufficient quantities of these controlled substances in order to complete our clinical trials or meet commercial demand, if our product candidates are approved for marketing.</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their restrictive nature, these laws and regulations could limit commercialization of our product candidates containing controlled substances. States may also have their own controlled substance laws that may further restrict and regulate controlled substances. Failure to comply with these laws and regulations could also result in withdrawal of our DEA registrations, disruption in manufacturing and distribution activities, consent decrees, criminal and civil penalties and state actions, among other consequences.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subjects in clinical trials, our receipt of necessary regulatory approvals could be delayed or prevented.</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may not be able to initiate or continue clinical trials for our product candidates if we are unable to locate and enroll a sufficient number of eligible subjects to participate in these trials as required by the FDA or similar regulatory authorities outside the United States. We cannot predict how successful we will be at enrolling subjects in future clinical trials. If we are not successful at enrolling subjects in one clinical trial, it may affect when we are able to initiate our next clinical trial, which could result in significant delays in our efforts to pursue regulatory approval of and commercialize our product candidates. In addition, some of our competitors have ongoing clinical trials to treat the same indications as our product candidates, and subjects who would otherwise be eligible for our clinical trials may instead enroll in clinical trials of our competitors. Subject enrollment is affected by other factors including:</w:t>
      </w:r>
    </w:p>
    <w:p>
      <w:pPr>
        <w:spacing w:after="0" w:line="162" w:lineRule="exact"/>
        <w:rPr>
          <w:sz w:val="20"/>
          <w:szCs w:val="20"/>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size and nature of the subject population specified in the trial protocol;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eligibility criteria for the study in question;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fact that the product candidate is a controlled substance;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subjects in a clinical trial;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drugs approved to treat the diseases or conditions under study;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severity of the disease or condition under investigation;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obtain and maintain subject informed consent;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retain subjects in the clinical trial and their return for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clinical trial design, including required tests, procedures and follow-up;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to monitor subjects adequately during and after treatment;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delays in adding new investigators and clinical sites;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withdrawal of clinical trial sites from clinical trials;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subjects.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inability to enroll a sufficient number of subjects for clinical trials would result in significant delays and could require us to abandon one or more clinical trials altogether. Enrollment delays in these clinical trials may result in increased development costs for our product candidates, which could cause our value to decline and limit our ability to obtain additional financing.</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Our clinical trials may fail to demonstrate the safety and efficacy of our product candidates, or serious adverse or unacceptable side effects may be identified during the development of our product candidates, which could prevent or delay regulatory approval and commercialization, increase our costs or necessitate the abandonment or limitation of the development of some of our product candidates.</w:t>
      </w:r>
    </w:p>
    <w:p>
      <w:pPr>
        <w:spacing w:after="0" w:line="147"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Before obtaining regulatory approvals for the commercial sale of our product candidates, we must demonstrate through lengthy, complex and expensive preclinical studies and clinical trials that our product candidates are both safe and effective for use in each target indication, and failures can occur at any stage of testing. Clinical trials often fail to demonstrate safety and efficacy of the product candidate studied for the target indication.</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product candidates are associated with side effects in clinical trials or have characteristics that are unexpected, we may need to abandon their development or limit development to more narrow uses or subpopulations in which the side effects or other characteristics are less prevalent, less severe or more acceptable from a risk-benefit perspective. The FDA or an IRB may also require that we suspend, discontinue, or limit our clinical trials based on safety information. Such findings could further result in regulatory authorities failing to provide marketing authorization for our product candidates. Many product candidates that initially showed promise in early stage testing have later been found to cause side effects that prevented further development of the product candidate.</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Because we have limited financial and management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drugs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81"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Social issues around the abuse of opioids and stimulants, including law enforcement concerns over diversion and regulatory efforts to combat abuse, could decrease the potential market for AZSTARYS, APADAZ or any of our other applicable product candidates.</w:t>
      </w:r>
    </w:p>
    <w:p>
      <w:pPr>
        <w:spacing w:after="0" w:line="14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Media stories regarding prescription drug abuse and the diversion of opioids, stimulants and other controlled substances are commonplace. Law enforcement and regulatory agencies may apply policies that seek to limit the availability of opioids and stimulants. Such efforts may inhibit the ability to commercialize AZSTARYS under the KP415 License Agreement, APADAZ under the APADAZ License Agreement or to commercialize any of our other applicable product candidates. Aggressive enforcement and unfavorable publicity regarding, for example, the use or misuse of hydrocodone or other opioid drugs and stimulants, the limitations of abuse-deterrent formulations, public inquiries and investigations into prescription drug abuse, litigation or regulatory activity, sales, marketing, distribution or storage of our products could harm our reputation. Such negative publicity could reduce the potential size of the market for AZSTARYS, APADAZ or any of our other applicable product candidates and decrease the revenue we are able to generate from their sale, if approved. Similarly, to the extent prescription drug abuse becomes a less prevalent or less urgent public health issue, regulators and third-party payors may not be willing to pay a premium for formulations with improved attributes of opioids or stimulants.</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Additionally, efforts by the FDA and other regulatory bodies to combat abuse of opioids and stimulants may negatively impact the market for AZSTARYS, APADAZ and any of our other applicable product candidates. For example, in April 2014, the FDA approved class-wide labeling changes to the indications for use of all approved ER/LA opioids, so that ER/LA opioids will be indicated only for the management of pain severe enough to require daily, around-the-clock, long-term opioid treatment and for which alternative treatment options are inadequate. These changes have reduced the number of prescriptions for opioids written by physicians and negatively impact the potential market for APADAZ or our other applicable product candidates. The FDA also held a public meeting in October 2014, on the development and regulation of abuse-deterrent formulations of opioid medications. Further, the Centers for Disease Control and Prevention previously issued draft guidelines for the prescribing of opioids for chronic pain, providing recommendations for primary care providers prescribing opioids for chronic pain on when to initiate or continue opioids, opioid selection and discontinuation, and the assessment of the risk and addressing harms of opioid use, among other areas. It is possible that FDA, or other regulatory bodies, will announce new regulatory initiatives at any time that may increase the regulatory burden or decrease the commercial opportunity for AZSTARYS, APADAZ or any of our other applicable product candidates.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Needs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maintain effective internal control over financial reporting could harm us.</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U.S. generally accepted accounting principles. If our management is unable to conclude that we have effective internal control over financial reporting, or to certify the effectiveness of such controls, or if material weaknesses in our internal controls are identified in the future, we could be subject to regulatory scrutiny and a loss of public confidence, which could have a material adverse effect on our business and our stock price. In addition, if we do not maintain adequate financial and management personnel, processes and controls, we may not be able to manage our business effectively or accurately report our financial performance on a timely basis, which could cause a decline in our common stock price and adversely affect our results of operations and financial condition.</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have incurred significant recurring negative net operating cash flows. We expect to incur minimal positive net operating cash flows or negative net operating cash flows over the next several years and may never achieve or maintain profitability.</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historically had significant negative net operating cash flows since inception. For the six months ended June 30, 2021 and 2020, net cash provided by operations was $14.0 million and $0.2 million, respectively. We have financed our operations through June 30, 2021 with funds raised in private placements of redeemable convertible preferred stock, in the issuance of convertible promissory notes and term debt, our initial public offering and other public and private offerings of our common stock, as well as through revenue received under the KP415 License Agreement, the Corium Consulting Agreement and other consulting arrangements.</w:t>
      </w:r>
    </w:p>
    <w:p>
      <w:pPr>
        <w:spacing w:after="0" w:line="19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devoted substantially all of our financial resources and efforts to research and development, including preclinical studies and clinical trials. We are in various stages of development of our product candidates, and we have only completed development of, and received regulatory approval for, two products, AZSTARYS and APADAZ. We expect to continue to incur significant expenses and operating losses over the next several years and our net losses may fluctuate significantly from quarter to quarter and year to year as we:</w:t>
      </w:r>
    </w:p>
    <w:p>
      <w:pPr>
        <w:spacing w:after="0" w:line="185" w:lineRule="exact"/>
        <w:rPr>
          <w:sz w:val="20"/>
          <w:szCs w:val="20"/>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our ongoing preclinical studies, clinical trials and our product development activities for our pipeline of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regulatory approvals for product candidates that successfully complete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 research and preclinical development and initiate clinical trials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seek to discover and develop additional product candidates either internally or in partnership with other pharmaceutical companies;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adapt our regulatory compliance efforts to incorporate requirements applicable to marketed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incur additional legal, accounting and other expenses in operating as a public company;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add operational systems and personnel, if needed, to support any future commercialization efforts.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To become and remain profitable, we must succeed in developing and eventually commercializing prodrugs that generate significant revenue. This will require us to be successful in a range of challenging activities, including completing preclinical studies and clinical trials and obtaining regulatory approval of our product candidates, and manufacturing, marketing and selling, whether ourselves or through a license with a third party, any of our product candidates for which we may obtain regulatory approval, as well as discovering and developing additional product candidates. We are in various stages of these activities for our product candidates and we cannot guarantee that any strategy we adopt will be successful. For instance, in September 2019, we entered into the KP415 License Agreement with Commave pursuant to which we granted an exclusive, worldwide license to Commave to develop, manufacture and commercialize AZSTARYS and KP484 worldwide. We cannot guarantee that Commave will be able to successfully manufacture or commercialize AZSTARYS, or develop, manufacture or commercialize KP484, if approved, or that we will ever receive any future payments under the KP415 License Agreement. In addition, in October 2018, we entered into the APADAZ License Agreement with KVK pursuant to which we granted an exclusive license to KVK to commercialize APADAZ in the United States. We cannot guarantee that KVK will be able to successfully commercialize APADAZ or that we will ever receive any payments under the APADAZ License Agreement from commercial sales of APADAZ. We may never succeed in commercialization activities and, even if we do, may never generate revenue that is significant enough to achieve profitability.</w:t>
      </w:r>
    </w:p>
    <w:p>
      <w:pPr>
        <w:spacing w:after="0" w:line="17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March 2020, the World Health Organization declared the outbreak of COVID-19 a global pandemic. This outbreak is causing major disruptions to businesses and markets worldwide as the virus spreads. We cannot predict what the long-term effects of this pandemic and the resulting economic disruptions may have on our liquidity and results of operations. The extent of the effect of the COVID-19 pandemic on our liquidity and results of operations will depend on a number future developments, including the duration, spread and intensity of the pandemic, and governmental, regulatory and private sector responses, all of which are uncertain and difficult to predict. The COVID-19 pandemic may make it more difficult for us to enroll patients in any future clinical trials or cause delays in the regulatory approval of our product candidates. A portion of our projected revenue is based upon the achievement of milestones in the KP415 License Agreement associated with regulatory matters that may be impacted by the COVID-19 pandemic. As a result, we cannot predict what, if any, impact that the COVID-19 pandemic may have on our ability to achieve these milestones. If the pandemic continues to be a severe worldwide crisis, it could have a material adverse effect on our business, results of operations, financial condition, and cash flows.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Because of the numerous risks and uncertainties associated with prodrug development, we are unable to accurately predict the timing or amount of expenses or when, or if, we will be able to achieve profitability. If we are required by regulatory authorities to perform studies in addition to those currently expected, or if there are any delays in the initiation and completion of our clinical trials or the development of any of our product candidates, our expenses could increase.</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Even if we achieve profitability, we may not be able to sustain or increase profitability on a quarterly or annual basis. Our failure to become and remain profitable would depress our value and could impair our ability to raise capital, expand our business, maintain our research and development efforts, obtain product approvals, diversify our product offerings or continue our operations. A decline in our value could also cause you to lose all or part of your investment.</w:t>
      </w:r>
    </w:p>
    <w:p>
      <w:pPr>
        <w:spacing w:after="0" w:line="18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years to complete, and we may not generate the necessary data or results required to obtain regulatory approval for our product candidates or claims necessary to make such candidates profitable and achieve product sales. In addition, AZSTARYS, APADAZ or any of our other product candidates, if approved, may not achieve commercial success. Our commercial revenue, if any, will be derived from sales of prodrug products. We cannot guarantee that Commave will be able to successfully commercialize AZSTARYS or any of the other product candidates subject to the KP415 License Agreement, even if approved, that KVK will be able to successfully commercialize APADAZ or that we will ever receive any payments under the KP415 License Agreement from the commercial sales of AZSTARYS or any future payments under the KP415 License Agreement or payment under the APADAZ License Agreement from commercial sales of APADAZ. Accordingly, we will need to continue to rely on additional financing to achieve our business objectives. Adequate additional financing may not be available to us on acceptable terms, or at all. To the extent that we raise additional capital through the sale of equity or debt securities, the terms of those securities or debt may restrict our ability to operate. Any future debt financing and equity financing, if available, may involve agreements that include, covenants limiting and restricting our ability to take specific actions, such as incurring additional debt, making capital expenditures, entering into profit-sharing or other arrangements or declaring dividends. If we raise additional funds through collaborations, strategic alliances or marketing, distribution or licensing arrangements with third parties, we may be required to relinquish valuable rights to our technologies, future revenue streams, research programs or product candidates or to grant licenses on terms that may not be favorable to us. In addition, we may seek additional capital due to favorable market conditions or strategic considerations even if we believe we have sufficient funds for our current or future operating plans. If we are unable to raise capital when needed or on attractive terms, we could be forced to delay, reduce or altogether cease our research and development programs or future commercialization efforts.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right="20"/>
        <w:spacing w:after="0" w:line="305" w:lineRule="auto"/>
        <w:rPr>
          <w:sz w:val="20"/>
          <w:szCs w:val="20"/>
          <w:color w:val="auto"/>
        </w:rPr>
      </w:pPr>
      <w:r>
        <w:rPr>
          <w:rFonts w:ascii="Arial" w:cs="Arial" w:eastAsia="Arial" w:hAnsi="Arial"/>
          <w:sz w:val="17"/>
          <w:szCs w:val="17"/>
          <w:b w:val="1"/>
          <w:bCs w:val="1"/>
          <w:i w:val="1"/>
          <w:iCs w:val="1"/>
          <w:color w:val="auto"/>
        </w:rPr>
        <w:t>We may need additional funding to pursue our business objectives. If we are unable to raise capital when needed, we could be forced to delay, reduce or altogether cease our prodrug development programs or commercialization efforts or cease operations altogether.</w:t>
      </w:r>
    </w:p>
    <w:p>
      <w:pPr>
        <w:spacing w:after="0" w:line="148"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expect that our only sources of revenues will be through payments arising from our license agreements with Commave and KVK, or through the Corium Consulting Agreement or other potential consulting arrangements and any other future arrangements related to one of our other product candidates. We cannot guarantee that we will be able to generate sufficient proceeds from the KP415 License Agreement, the APADAZ License Agreement, the Corium Consulting Agreement or other consulting arrangements, or be successful in completing other transactions, that will fully fund our operating expenses. Further, the economic uncertainty surrounding the COVID-19 pandemic may dramatically reduce our ability to secure debt or equity financing necessary to support our operations. If we are delayed in obtaining additional funding or are unable to complete a strategic transaction, we may discontinue our development activities on our product candidates or discontinue our operations. Our future capital requirements will depend on many factors, including:</w:t>
      </w:r>
    </w:p>
    <w:p>
      <w:pPr>
        <w:spacing w:after="0" w:line="164" w:lineRule="exact"/>
        <w:rPr>
          <w:sz w:val="20"/>
          <w:szCs w:val="20"/>
          <w:color w:val="auto"/>
        </w:rPr>
      </w:pPr>
    </w:p>
    <w:p>
      <w:pPr>
        <w:ind w:left="660" w:hanging="330"/>
        <w:spacing w:after="0" w:line="27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progress and results of our preclinical studies, clinical trials, chemistry, manufacturing and controls, or CMC, and other product development and commercialization activities;</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development, laboratory testing and clinical trials for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number and development requirements of other product candidates that we may pursue;</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 of our product candidates;</w:t>
      </w:r>
    </w:p>
    <w:p>
      <w:pPr>
        <w:spacing w:after="0" w:line="222"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efforts necessary to institute post-approval regulatory compliance requirements;</w:t>
      </w:r>
    </w:p>
    <w:p>
      <w:pPr>
        <w:spacing w:after="0" w:line="222"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product manufacturing, marketing, sales and distribution, for any of our product candidates for which we receive marketing approval;</w:t>
      </w:r>
    </w:p>
    <w:p>
      <w:pPr>
        <w:spacing w:after="0" w:line="170" w:lineRule="exact"/>
        <w:rPr>
          <w:rFonts w:ascii="Arial" w:cs="Arial" w:eastAsia="Arial" w:hAnsi="Arial"/>
          <w:sz w:val="18"/>
          <w:szCs w:val="18"/>
          <w:color w:val="auto"/>
        </w:rPr>
      </w:pPr>
    </w:p>
    <w:p>
      <w:pPr>
        <w:jc w:val="both"/>
        <w:ind w:left="660" w:hanging="330"/>
        <w:spacing w:after="0" w:line="25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commercial revenue, if any, received from commercial sales of AZSTARYS under our KP415 License Agreement, APADAZ under our APADAZ License Agreement, or any of our other product candidates subject to the terms of the KP415 License agreement, or sales of our other product candidates for which we receive marketing approval in the future, which may be affected by market conditions, including obtaining coverage and adequate reimbursement of AZSTARYS, APADAZ, or any of our other product candidates, from third-party payors, including government programs and managed care organizations, and competition within the therapeutic class to which AZSTARYS, APADAZ, or any our other product candidates are assigned;</w:t>
      </w:r>
    </w:p>
    <w:p>
      <w:pPr>
        <w:spacing w:after="0" w:line="19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success of our partner, Commave, in commercializing AZSTARYS, or the successful development of other Additional Products or other Licensed Products in accordance with the terms of the KP415 License Agreement;</w:t>
      </w:r>
    </w:p>
    <w:p>
      <w:pPr>
        <w:spacing w:after="0" w:line="170" w:lineRule="exact"/>
        <w:rPr>
          <w:rFonts w:ascii="Arial" w:cs="Arial" w:eastAsia="Arial" w:hAnsi="Arial"/>
          <w:sz w:val="18"/>
          <w:szCs w:val="18"/>
          <w:color w:val="auto"/>
        </w:rPr>
      </w:pPr>
    </w:p>
    <w:p>
      <w:pPr>
        <w:ind w:left="660" w:hanging="330"/>
        <w:spacing w:after="0" w:line="275"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intellectual property rights and defending any intellectual property-related claims; and</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extent to which we acquire or in-license other product candidates and technologies.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business has been, and may in the future be, adversely affected by the effects of health epidemics, including the recent COVID-19 pandemic, in regions where we or third parties on which we rely have clinical trial sites or other business operations In addition, if COVID-19 continues to be a worldwide pandemic, it could materially affect our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Our business has been, and may continue to be, adversely affected by health epidemics, including the COVID-19 pandemic, in regions where we have significant manufacturing facilities, concentrations of clinical trial sites, or other business operations.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As a result of the COVID-19 outbreak, we have implemented limitations on our operations, including a work-from-home policy, and could face further limitations in our operations in the future. There is a risk that countries or regions may be less effective at containing COVID-19 than others, or it may be more difficult to contain if the outbreak reaches a larger population or broader geography, in which case the risks described herein could be elevated significantly.</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particular, our future clinical trials may be affected by the COVID-19 outbreak or other future health epidemics. Site initiation, patient enrollment, distribution of drug product candidates, study monitoring, and data collection may be delayed due to changes in hospital policies, local regulations, and/or prioritization of hospital resources toward the COVID-19 outbreak or other future health epidemics. If COVID-19 continues to spread or there are similar health epidemics in the future, some patients and clinical investigators may not be able to comply with clinical trial protocols. For example, quarantines may impede patient movement, affect sponsor access to study sites, or interrupt healthcare services, and we may be required to delay patient enrollment or unable to obtain patient data as a result.</w:t>
      </w:r>
    </w:p>
    <w:p>
      <w:pPr>
        <w:spacing w:after="0" w:line="19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third-party manufacturing of our products and product candidates and suppliers of the materials used in the production of our product candidates may be impacted by restrictions resulting from the COVID-19 outbreak or other future health epidemics which may disrupt our supply chain or limit our ability to manufacture drug product candidates for our clinical trials.</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ultimate impact of the COVID-19 outbreak or a similar future health epidemic is highly uncertain and subject to change. We do not yet know the full extent of potential delays or impacts on our business, our clinical trials, healthcare systems or the global economy as a whole. However, these effects could have a material impact on our operations, and we will continue to monitor the COVID-19 situation closely.</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operating history may make it difficult for you to evaluate the success of our business to date and to assess our future viability.</w:t>
      </w:r>
    </w:p>
    <w:p>
      <w:pPr>
        <w:spacing w:after="0" w:line="23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commenced active operations in 2006, and our operations to date have been largely focused on raising capital, identifying potential product candidates, broadening our expertise in the development of our prodrugs, undertaking preclinical studies and conducting clinical trials. To date, we have only two products approved by the FDA, AZSTARYS, a once-daily product for the treatment of ADHD in patients age six years and older, and APADAZ for the short-term (no more than 14 days) management of acute pain severe enough to require an opioid analgesic and for which alternative treatments are inadequate. We have not yet demonstrated an ability to manufacture a prodrug on a commercial scale, or arrange for a third party to do so, or conduct sales and marketing activities necessary for successful commercialization. Further, we cannot guarantee that Commave will be able to successfully commercialize AZSTARYS or any of our other product candidates subject to the KP415 License Agreement, if approved, that KVK will be able to successfully commercialize APADAZ, or that we will ever receive any payments under the KP415 License Agreement or the APADAZ License Agreement from commercial sales of AZSTARYS, APADAZ, or any of our other product candidates, if approved. Consequently, any predictions you make about our future success or viability may not be as accurate as they could be if we had a longer operating history.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encounter unforeseen expenses, difficulties, complications, delays and other known or unknown factors in achieving our business objectives. We will need to transition at some point from a company with a research and development focus to a company capable of supporting commercial activities. We may not be successful in such a transition.</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expect our financial condition and operating results to continue to fluctuate significantly from quarter to quarter and year to year due to a variety of factors, many of which are beyond our control. Accordingly, you should not rely upon the results of any quarterly or annual periods as indications of future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rely on and expect to continue to rely on third parties to conduct our clinical trials for our product candidates, and those third parties may not perform satisfactorily, including failing to meet deadlines for the completion of such trials.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have engaged and expect to continue to engage CROs for our planned clinical trials of our product candidates. We rely on and expect to continue to rely on CROs, as well as other third parties, such as clinical data management organizations, medical institutions and clinical investigators, to conduct those clinical trials. Agreements with such third parties might terminate for a variety of reasons, including a failure to perform by the third parties. If we need to enter into alternative arrangements, our drug development activities would be delayed.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regulatory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investigators and trial sites. We also are required to register specified ongoing clinical trials and post the results of completed clinical trials on a government-sponsored database, ClinicalTrials.gov, within specified timeframes. In addition, we must conduct our clinical trials with product produced under cGMP requirements. Failure to comply with these regulations may require us to repeat preclinical studies and clinical trials, which would delay the regulatory approval process. Failure to comply with the applicable requirements related to clinical investigations by us, our CROs or clinical trial sites can also result in clinical holds and termination of clinical trials, debarment, FDA refusal to approve applications based on the clinical data, warning letters, withdrawal of marketing approval if the product has already been approved, fines and other monetary penalties, delays, adverse publicity and civil and criminal sanctions, among other consequences.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Furthermore, these third parties may also have relationships with other entities, some of which may be our competitors. 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our product candidates and will not be able to, or may be delayed in our efforts to, successfully commercialize our product candidates.</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investigators for our clinical trials may serve as scientific advisors or consultants to us from time to time and may receive cash or equity compensation in connection with such services. If these relationships and any related compensation result in perceived or actual conflicts of interest, or the FDA concludes that the financial relationship may have affected the interpretation of the study, the integrity of the data generated at the applicable clinical trial site may be questioned and the utility of the clinical trial itself may be jeopardized, which could result in the delay or rejection of any NDA we submit by the FDA. Any such delay or rejection could prevent us from commercializing our product candidates. Further, our arrangements with investigators are also subject to scrutiny under other health care regulatory laws, such as the Anti-Kickback Statute.</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also rely on and expect to continue to rely on other third parties to store and distribute product supplies for our clinical trials. Any performance failure on the part of our distributors could delay clinical development or marketing approval of our product candidates or commercialization of our products, producing additional losses and depriving us of potential product revenue.</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the third parties with whom we contract do not successfully carry out their contractual duties or obligations or meet expected deadlines or if the quality or accuracy of the clinical data they obtain is compromised due to the failure to adhere to our clinical protocols or regulatory requirements or for other reasons, our clinical trials may be extended, delayed or terminated, we may need to conduct additional trials, and we may not be able to obtain regulatory approval for or successfully commercialize our product candidates. As a result, the commercial prospects for our product candidates would be harmed, our costs could increase and our ability to generate revenue could be delayed. To the extent we are unable to successfully identify and manage the performance of third-party service providers in the future, our business may be adversely affected.</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i w:val="1"/>
          <w:iCs w:val="1"/>
          <w:color w:val="auto"/>
        </w:rPr>
        <w:t>We contract with third parties for the manufacture of our partnered products and product candidates that utilize benzhydrocodone and SDX as the API used in our clinical trials and with a sole source supplier for the manufacture of bulk quantities of benzhydrocodone and SDX used in the partnered products and product candidates that utilize these moieties as the API and we expect to continue to do so. This reliance on third-party manufacturers increases the risk that we will not have sufficient quantities of benzhydrocodone and SDX, or such quantities at an acceptable cost, which could delay, prevent or impair our development or commercialization efforts.</w:t>
      </w:r>
    </w:p>
    <w:p>
      <w:pPr>
        <w:spacing w:after="0" w:line="17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do not have any manufacturing facilities. We procure the bulk drug substances for AZSTARYS, KP484, APADAZ, KP879 and KP1077 from sole-source, third-party manufacturers and the partnered products and product candidates that utilize these moieties as the API used in our clinical trials from other third parties. We anticipate we will continue to do so for the foreseeable future. We also expect to continue to rely on third parties as we proceed with preclinical and clinical testing of our product candidates, as well as for commercial manufacture of AZSTARYS, APADAZ, or any of our other product candidates should they receive marketing approval. This reliance on third parties increases the risk that we will not have sufficient quantities of benzhydrocodone, SDX, other bulk drug substances or our partnered product or product candidates, or such quantities at an acceptable cost or quality, which could delay, prevent or impair our ability to timely conduct our clinical trials or our other development or commercialization efforts.</w:t>
      </w:r>
    </w:p>
    <w:p>
      <w:pPr>
        <w:spacing w:after="0" w:line="16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be unable to establish any future agreements with third-party manufacturers or to do so on acceptable terms. Even if we are able to maintain our existing third-party relationships or establish any such agreements with other third-party manufacturers, reliance on third-party manufacturers entails additional risks, including:</w:t>
      </w:r>
    </w:p>
    <w:p>
      <w:pPr>
        <w:spacing w:after="0" w:line="182" w:lineRule="exact"/>
        <w:rPr>
          <w:sz w:val="20"/>
          <w:szCs w:val="20"/>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reliance on the third party for FDA and DEA regulatory compliance and quality assurance;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disruption and costs associated with changing suppliers, including additional regulatory filings;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possible breach, termination or nonrenewal of the agreement by the third party at a time that is costly or inconvenient for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 delay or inability to procure or expand sufficient manufacturing capacity;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manufacturing and product quality issues related to scale-up of manufacturing;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costs and validation of new equipment and facilities required for scale-up;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inability to negotiate manufacturing agreements with third parties under commercially reasonable terms;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termination or nonrenewal of manufacturing agreements with third parties in a manner or at a time that is costly or damaging to us;</w:t>
      </w:r>
    </w:p>
    <w:p>
      <w:pPr>
        <w:spacing w:after="0" w:line="222" w:lineRule="exact"/>
        <w:rPr>
          <w:rFonts w:ascii="Arial" w:cs="Arial" w:eastAsia="Arial" w:hAnsi="Arial"/>
          <w:sz w:val="18"/>
          <w:szCs w:val="18"/>
          <w:color w:val="auto"/>
        </w:rPr>
      </w:pPr>
    </w:p>
    <w:p>
      <w:pPr>
        <w:jc w:val="both"/>
        <w:ind w:left="460" w:right="20" w:hanging="224"/>
        <w:spacing w:after="0" w:line="262"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reliance on a limited number of sources, and in some cases, single sources for product components, such that if we are unable to secure a sufficient supply of these product components, we will be unable to manufacture and sell our product candidates in a timely fashion, in sufficient quantities or under acceptable terms; and</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carrier disruptions or increased costs that are beyond our control.</w:t>
      </w:r>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color w:val="auto"/>
        </w:rPr>
        <w:t>Any of these events could lead to clinical trial delays, failure to obtain regulatory approval or impact our ability to successfully commercialize our products.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Some of these events could be the basis for FDA action, including injunction, recall, seizure or total or partial suspension of production.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The facilities used by our contract manufacturers to manufacture AZSTARYS, APADAZ, and any of our other product candidates must be approved by the FDA pursuant to inspections that will be conducted after we submit our marketing application to the FDA, and these facilities could fail to obtain FDA approval.</w:t>
      </w:r>
    </w:p>
    <w:p>
      <w:pPr>
        <w:spacing w:after="0" w:line="18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do not, other than through our contractual arrangements, control the manufacturing process of AZSTARYS, APADAZ, or any of our other product candidates, and we are completely dependent on, our contract manufacturing partners for compliance with cGMP requirements and for manufacture of both active drug substances and finished drug products. If our contract manufacturers cannot successfully manufacture material that conforms to our specifications and the strict regulatory requirements of the FDA or other regulatory authorities, we will not be able to secure and maintain regulatory approval for their manufacturing facilities. In addition, other than through our contractual agreements, we have no control over the ability of our contract manufacturers to maintain adequate quality control, quality assurance and qualified personnel. If the FDA or a comparable foreign regulatory authority does not approve these facilities for the manufacturing of AZSTARYS, APADAZ or any of our other product candidates or if it withdraws any such approval in the future, we may need to find alternative manufacturing facilities, which would significantly impact our ability to develop, obtain marketing approval for or market AZSTARYS, APADAZ, or any of our other product candidates, if approved.</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 for AZSTARYS, APADAZ and any of our other product candidates, if approved, our suppliers will be subject to regulatory requirements, covering manufacturing, testing, quality control and record keeping relating to AZSTARYS, APADAZ or any of our other product candidates, if approved, and subject to ongoing inspections by the regulatory agencies. Failure by any of our suppliers to comply with applicable regulations may result in long delays and interruptions to our manufacturing capacity while we seek to secure another supplier that meets all regulatory requirements, as well as market disruption related to any necessary recalls or other corrective actions.</w:t>
      </w:r>
    </w:p>
    <w:p>
      <w:pPr>
        <w:spacing w:after="0" w:line="190"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Third-party manufacturers may not be able to comply with current cGMP regulations or similar regulatory requirements outside the United States. Our failure, or the failure of our third-party manufacturers, to comply with applicable regulations could result in sanctions being imposed on us, including warning letters, clinical holds or termination of clinical trials, fines, injunctions, restitution, disgorgement, civil penalties, delays, suspension or withdrawal of approvals or other permits, FDA refusal to approve pending applications, product detentions, FDA or DEA consent decrees placing significant restrictions on or suspending manufacturing and distribution operations, debarment, refusal to allow import or export, product detentions, adverse publicity, dear-health-care-provider letters or other warnings, license revocation, seizures or recalls of product candidates, operating restrictions, refusal of government contracts or future orders under existing contracts and civil and criminal liability, including False Claims Act liability, exclusion from participation in federal health care programs, and corporate integrity agreements among other consequences, any of which could significantly and adversely affect supplies of our prodrugs.</w:t>
      </w:r>
    </w:p>
    <w:p>
      <w:pPr>
        <w:spacing w:after="0" w:line="19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Our product candidates and any prodrugs that we may develop may compete with other product candidates and drugs for access to manufacturing facilities, and we may be unable to obtain access to these facilities on favorable terms.</w:t>
      </w:r>
    </w:p>
    <w:p>
      <w:pPr>
        <w:spacing w:after="0" w:line="171"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There are a limited number of manufacturers that operate under cGMP regulations and that might be capable of manufacturing for us. Any performance failure on the part of our existing or future manufacturers could delay clinical development or marketing approval. We do not currently have arrangements in place for redundant supply or a second source for AZSTARYS, KP484, KP879 or KP1077 bulk drug substance. If our current contract manufacturer for AZSTARYS, KP484, KP879 or KP1077 bulk drug substance cannot perform as agreed, we may be required to replace such manufacturer and we may incur added costs and delays in identifying and qualifying any such replacement.</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i w:val="1"/>
          <w:iCs w:val="1"/>
          <w:color w:val="auto"/>
        </w:rPr>
        <w:t>We have entered into collaborations with Commave, to develop, manufacture and commercialize AZSTARYS and KP484 worldwide, and KVK, for the commercialization of APADAZ in the United States. In addition, we may seek collaborations with third parties for the development or commercialization of our other product candidates, or in other territories. If those collaborations are not successful, we may not be able to capitalize on the market potential of AZSTARYS, APADAZ, or any of our other product candidates, if approved.</w:t>
      </w:r>
    </w:p>
    <w:p>
      <w:pPr>
        <w:spacing w:after="0" w:line="17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entered into the KP415 License Agreement with Commave pursuant to which we granted an exclusive, worldwide license to Commave to develop, manufacture and commercialize AZSTARYS and KP484. We cannot guarantee that the K415 License Agreement with Commave will be successful or that we will receive any future payments under the KP415 License Agreement. For instance, Commave has the option to terminate the KP415 License Agreement, in its entirety or on a product-by-product and country-by-country basis, at their convenience either (i) prior to the first regulatory approval of a product upon sixty days prior written notice or (ii) subsequent to the first regulatory approval of a product upon one hundred twenty days prior written notice. Further, even if Commave does not terminate the KP415 License Agreement, we cannot guarantee that we will receive any additional milestone or royalty payments under the KP415 License Agreement. In addition, under the KP415 License Agreement, we have limited control over the amount and timing of resources that Commave will dedicate to the development, manufacturing or commercialization of AZSTARYS and KP484, and we may not always agree with Commave’s efforts. Our ability to generate revenue under the KP415 License Agreement will depend, in part, on Commave’s ability to successfully perform the functions assigned to it under the KP415 License Agreement.</w:t>
      </w:r>
    </w:p>
    <w:p>
      <w:pPr>
        <w:spacing w:after="0" w:line="18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addition, we have entered into the APADAZ License Agreement with KVK pursuant to which we granted an exclusive license to KVK to commercialize APADAZ in the United States. We cannot guarantee that our collaboration with KVK will be successful or that we will ever receive any payments under the APADAZ License Agreement. For instance, if the Initial Adoption Milestone under the APADAZ License Agreement is not achieved, KVK may terminate the APADAZ License Agreement without making any payments to us. Further, even if the Initial Adoption Milestone under the APADAZ License Agreement is achieved, we cannot guarantee that we will receive any additional milestone or royalty payments under the APADAZ License Agreement. Further, under the APADAZ License Agreement, we have limited control over the amount and timing of resources that KVK will dedicate to the commercialization of APADAZ, and we may not always agree with KVK’s commercialization efforts. Our ability to generate revenue under the APADAZ License Agreement will depend on KVK’s ability to successfully perform the functions assigned to it under the APADAZ License Agreement. The commercialization strategy under the APADAZ License Agreement is novel and untested, and, even if successful we expect that the pricing for any sales of APADAZ will be at or near the prices of currently available generic equivalent drugs. As a result, even if KVK does successfully perform its functions under the APADAZ License Agreement, we cannot guarantee that there will be sufficient market demand for APADAZ for us to receive any revenue under the APADAZ License Agreement.</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also seek additional third-party collaborators for the commercialization of APADAZ outside of the United States or for the development or commercialization of any of our other product candidates, which are not subject to the KP415 License Agreement, or those that are subject to the KP415 License Agreement but the option is not exercised by Commave. In such cases, our likely collaborators would include large and mid-size pharmaceutical companies, regional, national and international pharmaceutical companies and biotechnology companies. If we do enter into any such collaboration arrangements with any third parties, we will likely have limited control over the amount and timing of resources that our collaborators dedicate to the development or commercialization of AZSTARYS or APADAZ outside of the United States or any of our other product candidates. Our ability to generate revenue from these arrangements will depend on our collaborators’ abilities to successfully perform the functions assigned to them in these arrangements.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Our collaborations with Commave and KVK, or combined the Collaborators, pose the following risks to us:</w:t>
      </w:r>
    </w:p>
    <w:p>
      <w:pPr>
        <w:spacing w:after="0" w:line="223" w:lineRule="exact"/>
        <w:rPr>
          <w:sz w:val="20"/>
          <w:szCs w:val="20"/>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Collaborators have significant discretion in determining the efforts and resources that they will apply to these collaborations;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Collaborators may not perform their obligations as expected;</w:t>
      </w:r>
    </w:p>
    <w:p>
      <w:pPr>
        <w:spacing w:after="0" w:line="222" w:lineRule="exact"/>
        <w:rPr>
          <w:rFonts w:ascii="Arial" w:cs="Arial" w:eastAsia="Arial" w:hAnsi="Arial"/>
          <w:sz w:val="18"/>
          <w:szCs w:val="18"/>
          <w:color w:val="auto"/>
        </w:rPr>
      </w:pPr>
    </w:p>
    <w:p>
      <w:pPr>
        <w:jc w:val="both"/>
        <w:ind w:left="460" w:hanging="224"/>
        <w:spacing w:after="0" w:line="258"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Collaborators may not pursue commercialization of AZSTARYS, APADAZ, or any of our other product candidates covered under the KP415 License Agreement, if approved, or may elect not to continue or renew commercialization programs based on post-approval clinical trial results, changes in the Collaborators' strategic focus or available funding, or external factors, such as an acquisition, that divert resources or create competing priorities;</w:t>
      </w:r>
    </w:p>
    <w:p>
      <w:pPr>
        <w:spacing w:after="0" w:line="184" w:lineRule="exact"/>
        <w:rPr>
          <w:rFonts w:ascii="Arial" w:cs="Arial" w:eastAsia="Arial" w:hAnsi="Arial"/>
          <w:sz w:val="18"/>
          <w:szCs w:val="18"/>
          <w:color w:val="auto"/>
        </w:rPr>
      </w:pPr>
    </w:p>
    <w:p>
      <w:pPr>
        <w:jc w:val="both"/>
        <w:ind w:left="460" w:hanging="224"/>
        <w:spacing w:after="0" w:line="310"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Collaborators could independently develop, or develop with third parties, products that compete directly or indirectly with AZSTARYS, APADAZ, or any of our other products covered under the KP415 License Agreement, as applicable, if the Collaborators believe that competitive products are more likely to be successfully developed or can be commercialized under terms that are more economically attractive than ours;</w:t>
      </w:r>
    </w:p>
    <w:p>
      <w:pPr>
        <w:spacing w:after="0" w:line="146" w:lineRule="exact"/>
        <w:rPr>
          <w:rFonts w:ascii="Arial" w:cs="Arial" w:eastAsia="Arial" w:hAnsi="Arial"/>
          <w:sz w:val="16"/>
          <w:szCs w:val="16"/>
          <w:color w:val="auto"/>
        </w:rPr>
      </w:pPr>
    </w:p>
    <w:p>
      <w:pPr>
        <w:jc w:val="both"/>
        <w:ind w:left="460" w:hanging="224"/>
        <w:spacing w:after="0" w:line="284" w:lineRule="auto"/>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AZSTARYS, APADAZ, and any of our other products covered under the KP415 License Agreement may be viewed by the Collaborators as competitive with their own product candidates or products, which may cause the Collaborators to cease to devote resources to the commercialization of AZSTARYS, APADAZ, or any of our other products covered under the KP415 License Agreement, if approved;</w:t>
      </w:r>
    </w:p>
    <w:p>
      <w:pPr>
        <w:spacing w:after="0" w:line="166" w:lineRule="exact"/>
        <w:rPr>
          <w:rFonts w:ascii="Arial" w:cs="Arial" w:eastAsia="Arial" w:hAnsi="Arial"/>
          <w:sz w:val="17"/>
          <w:szCs w:val="17"/>
          <w:color w:val="auto"/>
        </w:rPr>
      </w:pPr>
    </w:p>
    <w:p>
      <w:pPr>
        <w:ind w:left="460" w:hanging="224"/>
        <w:spacing w:after="0" w:line="27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Collaborators may not commit sufficient resources to the development, marketing and distribution of AZSTARYS, APADAZ, and any of our other products covered under the KP415 License Agreement, as applicable;</w:t>
      </w:r>
    </w:p>
    <w:p>
      <w:pPr>
        <w:spacing w:after="0" w:line="170"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disagreements with the Collaborators, including disagreements over proprietary rights, contract interpretation or the preferred course of development or commercialization, might cause delays or termination of the development or commercialization of AZSTARYS, APADAZ, or any of our other products covered under the KP415 License Agreement, as applicable, might lead to additional responsibilities for us with respect to AZSTARYS, APADAZ, or any of our other products covered under the KP415 License Agreement, or might result in litigation or arbitration, any of which would be time-consuming and expensive;</w:t>
      </w:r>
    </w:p>
    <w:p>
      <w:pPr>
        <w:spacing w:after="0" w:line="190" w:lineRule="exact"/>
        <w:rPr>
          <w:rFonts w:ascii="Arial" w:cs="Arial" w:eastAsia="Arial" w:hAnsi="Arial"/>
          <w:sz w:val="18"/>
          <w:szCs w:val="18"/>
          <w:color w:val="auto"/>
        </w:rPr>
      </w:pPr>
    </w:p>
    <w:p>
      <w:pPr>
        <w:jc w:val="both"/>
        <w:ind w:left="460" w:hanging="224"/>
        <w:spacing w:after="0" w:line="339" w:lineRule="auto"/>
        <w:tabs>
          <w:tab w:leader="none" w:pos="46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Collaborators may not properly maintain or defend our or their intellectual property rights or may use our or their proprietary information in such a way as to invite litigation that could jeopardize or invalidate such intellectual property or proprietary information or expose us to potential litigation;</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Collaborators may infringe the intellectual property rights of third parties, which may expose us to litigation and potential liability; and</w:t>
      </w:r>
    </w:p>
    <w:p>
      <w:pPr>
        <w:spacing w:after="0" w:line="234"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license agreements may be terminated by the Collaborators under specified circumstances and, if terminated, we could be required to raise additional capital to pursue further development or commercialization of AZSTARYS, APADAZ, or any of our other products covered under the KP415 License Agreement.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If we enter into any future collaborations we will face similar risks with any future collaborators as well.</w:t>
      </w:r>
    </w:p>
    <w:p>
      <w:pPr>
        <w:spacing w:after="0" w:line="2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KP415 License Agreement, the APADAZ License Agreement, and any other licensing or collaboration agreements we may enter into may not lead to commercialization of AZSTARYS, commercialization of APADAZ, or development of KP484, KP879 or any of our other product candidates in the most efficient manner or at all. If Commave or KVK or a future collaborator of ours were to be involved in a business combination, the continued pursuit and emphasis on our drug development or commercialization program could be delayed, diminished or terminated.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are not able to establish collaborations for our product candidates, we may have to alter our development and commercialization plans.</w:t>
      </w:r>
    </w:p>
    <w:p>
      <w:pPr>
        <w:spacing w:after="0" w:line="246"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Our prodrug development programs and the potential commercialization of our product candidates, if approved, will require substantial additional capital. For our product candidates, which are not subject to the terms of the KP415 License Agreement or the APADAZ License Agreement, we may need to collaborate with pharmaceutical and biotechnology companies for the development and potential commercialization of those product candidates.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w:t>
      </w:r>
    </w:p>
    <w:p>
      <w:pPr>
        <w:spacing w:after="0" w:line="19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The collaborator may also consider alternative product candidates or technologies for similar indications that may be available to collaborate on and whether such a collaboration could be more attractive than the one with us for our product candidate.</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7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may not be able to negotiate collaborations on a timely basis, on acceptable terms, or at all. If we are unable to do so, we may have to curtail the development of product candidates, reduce or delay one or more of our development programs, delay potential commercialization of our product candidates or reduce the scope of any sales or marketing activities of our product candidates, or increase our expenditures and undertake development or commercialization activities at our own expense of our product candidate.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our product candidates to market and generate product revenue.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Provisions in our agreements with Aquestive and Commave may inhibit our ability to enter into future collaborations with third parties.</w:t>
      </w:r>
    </w:p>
    <w:p>
      <w:pPr>
        <w:spacing w:after="0" w:line="23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are party to a termination agreement with Aquestive Therapeutics, or Aquestive, that may limit the value of any sale, license or commercialization of AZSTARYS, KP484, KP879 or KP1077. Under this termination agreement, Aquestive has the right to receive a royalty amount equal to 10% of any value generated by AZSTARYS, KP484, KP879 or KP1077, and any product candidates which contain SDX, including royalty payments on any license of AZSTARYS, KP484, KP879 or KP1077, the sale of AZSTARYS, KP484, KP879 or KP1077 to a third party or the commercialization of AZSTARYS, KP484, KP879 or KP1077. As part of the KP415 License Agreement, we paid Aquestive a royalty equal to 10% of the license upfront payment we received in the third quarter of 2019, the regulatory milestone payment we received in the second quarter of 2020 and the regulatory milestone payments we received in the second quarter of 2021.</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also granted to Commave a right of first refusal to acquire, license or commercialize any Additional Product Candidate which contains SDX and are intended to treat ADHD or any other central nervious system disorder, excluding KP922, with such right of first refusal expiring upon the acceptance of a new drug application for such Additional Product Candidate. We also granted Commave a right of first negotiation and a right of first refusal, subject to specified exceptions, for any assignment of our rights under the KP415 License Agreement. We cannot predict if these obligations will limit the value we may receive from any future sale or license of any Additional Product Candidate.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If we are unable to obtain and maintain trade secret protection or patent protection for our technology, AZSTARYS, APADAZ, or our other product candidates, or if the scope of the patent protection obtained is not sufficiently broad, our competitors could develop and commercialize technology and drugs similar or identical to ours, and our ability to successfully commercialize our technology, AZSTARYS, APADAZ, or our other product candidates, if approved, may be impaired.</w:t>
      </w:r>
    </w:p>
    <w:p>
      <w:pPr>
        <w:spacing w:after="0" w:line="18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success depends in large part on our ability to obtain and maintain trade secret protection of our proprietary LAT technology as well as patent protection in the United States and other countries with respect to AZSTARYS, APADAZ, and any of our other product candidates. We seek to protect our proprietary position by filing patent applications in the United States and abroad related to our product technology and product candidates. As part of the KP415 License Agreement, Commave obtained from us an exclusive, worldwide license to certain patents that cover AZSTARYS and KP484. In addition, as part of the APADAZ License Agreement, KVK obtained from us an exclusive license to certain patents that cover APADAZ.</w:t>
      </w:r>
    </w:p>
    <w:p>
      <w:pPr>
        <w:spacing w:after="0" w:line="17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patent prosecution process is expensive and time-consuming,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We may not have the right to control the preparation, filing and prosecution of patent applications, or to maintain the rights to patents, licensed to third parties by us.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we may also not have the right to control the preparation, filing and prosecution of patent applications, or to maintain the rights to patents, licensed from third parties to us. Therefore, any such patents and applications may not be prosecuted and enforced in a manner consistent with the best interests of our business. If such licensors or licensees fail to maintain such patents, or lose rights to those patents, the rights we have in- or out-licensed may be reduced or eliminated.</w:t>
      </w:r>
    </w:p>
    <w:p>
      <w:pPr>
        <w:spacing w:after="0" w:line="1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the laws of foreign countries may not protect our rights to the same extent as the laws of the United States or visa-versa. For example, European patent law restricts the patentability of methods of treatment of the human body more than United States law. Publications of discoveries in the scientific literature often lag behind the actual discoveries, and utility, or equivalent, patent applications in the United States and other jurisdictions are typically, for example, not published until 18 months after the filing date of such patent applications, or in some cases not at all. Therefore, we cannot know with certainty whether we were the first to make and/or use the inventions claimed in our owned or licensed patents or pending patent applications, or that we were the first to file for patent protection of such inventions. As a result, the issuance, scope, priority, validity, enforceability and commercial value of our patent rights are highly uncertain. Our pending and future patent applications may not result in patents being issued that protect our product candidates, in whole or in part, or which effectively prevent others from commercializing competitive technologies and drugs. Changes in either the patent laws or interpretation of the patent laws in the United States and other countries may diminish the value of our patents or narrow the scope of our patent protection.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Our patent position is subject to numerous additional risks, including the following:</w:t>
      </w:r>
    </w:p>
    <w:p>
      <w:pPr>
        <w:spacing w:after="0" w:line="223" w:lineRule="exact"/>
        <w:rPr>
          <w:sz w:val="20"/>
          <w:szCs w:val="20"/>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fail to seek patent protection for inventions that are important to our success;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pending patent applications may not result in issued patents;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cannot be certain that we are the first to invent the inventions covered by pending patent applications or that we are the first to file such applications and, if we are not, we may be subject to priority disputes or lose rights;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be required to disclaim part or all of the term of certain patents or all of the term of certain patent applications;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not be able to acquire patent term extensions of certain patents, domestic or foreign, due to regulatory delays, among others, which may affect the term of enforceability of such patents over time;</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we may file patent applications but have claims restricted or we may not be able to supply sufficient data to support our claims and, as a result, may not obtain the original claims desired or we may receive restricted claims; alternatively, it is possible that we may not receive any patent protection from an application;</w:t>
      </w:r>
    </w:p>
    <w:p>
      <w:pPr>
        <w:spacing w:after="0" w:line="18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even if our owned and licensed patent applications issue as patents, they may not issue in a form that will provide us with any meaningful protection, and may not be of sufficient scope or strength to provide us with any commercial advantage;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ind w:left="460" w:right="540" w:hanging="224"/>
        <w:spacing w:after="0" w:line="27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competitors may be able to design around our owned or licensed patents by developing similar or alternative technologies or drugs without infringing on our intellectual property rights;</w:t>
      </w:r>
    </w:p>
    <w:p>
      <w:pPr>
        <w:spacing w:after="0" w:line="170"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could inadvertently abandon a patent or patent application, resulting in the loss of protection of intellectual property rights in a particular country, and we, our collaborators or our patent counsel may take action resulting in a patent or patent application becoming abandoned which may not be able to be reinstated or if reinstated, may suffer patent term adjustments or loss;</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claims of our issued patents or patent applications when issued may not cover our product candidates;</w:t>
      </w:r>
    </w:p>
    <w:p>
      <w:pPr>
        <w:spacing w:after="0" w:line="222" w:lineRule="exact"/>
        <w:rPr>
          <w:rFonts w:ascii="Arial" w:cs="Arial" w:eastAsia="Arial" w:hAnsi="Arial"/>
          <w:sz w:val="18"/>
          <w:szCs w:val="18"/>
          <w:color w:val="auto"/>
        </w:rPr>
      </w:pPr>
    </w:p>
    <w:p>
      <w:pPr>
        <w:jc w:val="both"/>
        <w:ind w:left="460" w:hanging="224"/>
        <w:spacing w:after="0" w:line="277"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no assurance can be given that our patents would be declared by a court, domestic or foreign, to be valid or enforceable or that a competitor’s technology or product would be found by a court, domestic or foreign, to infringe our patents and our patents or patent applications may be challenged by third parties in patent litigation, domestic or foreign, or in proceedings before the United States Patent and Trademark Office, or the USPTO, or its foreign counterparts, and may ultimately be declared invalid or unenforceable or narrowed in scope;</w:t>
      </w:r>
    </w:p>
    <w:p>
      <w:pPr>
        <w:spacing w:after="0" w:line="172"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prior art of which we are not aware that may affect the validity or enforceability of a patent claim and there may be prior art of which we are aware, but which we do not believe affects the validity or enforceability of a claim, which may, nonetheless, ultimately be found to affect the validity or enforceability of a claim;</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develop products that have the same or similar effect as our products without infringing our patents;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third parties may intentionally circumvent our patents by means of alternate designs or processes or file applications or be granted patents that would block or hurt our efforts;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there may be dominating or intervening patents relevant to our product candidates of which we are not aware;</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obtaining regulatory approval for pharmaceutical products is a lengthy and complex process, and as a result, any patents covering our product candidates may expire before or shortly after such product candidates are approved and commercialized;</w:t>
      </w:r>
    </w:p>
    <w:p>
      <w:pPr>
        <w:spacing w:after="0" w:line="170" w:lineRule="exact"/>
        <w:rPr>
          <w:rFonts w:ascii="Arial" w:cs="Arial" w:eastAsia="Arial" w:hAnsi="Arial"/>
          <w:sz w:val="18"/>
          <w:szCs w:val="18"/>
          <w:color w:val="auto"/>
        </w:rPr>
      </w:pPr>
    </w:p>
    <w:p>
      <w:pPr>
        <w:ind w:left="460" w:hanging="224"/>
        <w:spacing w:after="0" w:line="305" w:lineRule="auto"/>
        <w:tabs>
          <w:tab w:leader="none" w:pos="4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patent and patent enforcement laws of some foreign jurisdictions do not protect intellectual property rights to the same extent as laws in the United States, and many companies have encountered significant difficulties in protecting and defending such rights in foreign jurisdictions; and</w:t>
      </w:r>
    </w:p>
    <w:p>
      <w:pPr>
        <w:spacing w:after="0" w:line="148" w:lineRule="exact"/>
        <w:rPr>
          <w:rFonts w:ascii="Arial" w:cs="Arial" w:eastAsia="Arial" w:hAnsi="Arial"/>
          <w:sz w:val="17"/>
          <w:szCs w:val="17"/>
          <w:color w:val="auto"/>
        </w:rPr>
      </w:pPr>
    </w:p>
    <w:p>
      <w:pPr>
        <w:ind w:left="460" w:hanging="224"/>
        <w:spacing w:after="0"/>
        <w:tabs>
          <w:tab w:leader="none" w:pos="4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223"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Any of these factors could hurt our ability to gain full patent protection for our products. Registered trademarks and trademark applications in the United States and other countries are subject to similar risks as described above for patents and patent applications, in addition to the risks described below.</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Further, a third party may misappropriate or reverse engineer our proprietary LAT technology, which could limit our ability to stop others from using or commercializing similar or identical technology and resultant product candidates, product technology or prodrugs, or limit the duration of the trade secret protection of our proprietary LAT technology.</w:t>
      </w:r>
    </w:p>
    <w:p>
      <w:pPr>
        <w:spacing w:after="0" w:line="182"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Moreover, we may be subject to a third-party pre-issuance submission of prior art to the USPTO, or become involved in opposition, litigation, nullity, derivation, reexamination, inter partes review, post-grant review or interference proceedings challenging our patent rights or the patent rights of others. An adverse determination in any such submission, proceeding or litigation could reduce the scope of, or invalidate, our patent rights, allow third parties to commercialize our technology or drugs and compete directly with us, without payment to us or result in our inability to manufacture or commercialize drugs without infringing third-party patent rights. In addition, if the breadth or strength of protection provided by our patents and patent applications is threatened, it could dissuade companies from collaborating with us to seek patent protection or to license, develop or commercialize current or future product candidates.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addition, the issuance of a patent is not conclusive as to its inventorship, ownership, scope, priority, validity or enforceability, and our owned and licensed patents may be challenged in the courts, patent offices and tribunals in the United States and abroad. Such challenges may result in loss of exclusivity or in patent claims being narrowed, invalidated or held unenforceable, in whole or in part, which could limit our ability to stop others from using or commercializing similar or identical technology and drugs, or limit the duration of the patent protection of our product technology, product candidates and prodrugs.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9" w:name="page80"/>
    <w:bookmarkEnd w:id="79"/>
    <w:p>
      <w:pPr>
        <w:jc w:val="both"/>
        <w:ind w:right="20"/>
        <w:spacing w:after="0" w:line="275" w:lineRule="auto"/>
        <w:rPr>
          <w:sz w:val="20"/>
          <w:szCs w:val="20"/>
          <w:color w:val="auto"/>
        </w:rPr>
      </w:pPr>
      <w:r>
        <w:rPr>
          <w:rFonts w:ascii="Arial" w:cs="Arial" w:eastAsia="Arial" w:hAnsi="Arial"/>
          <w:sz w:val="18"/>
          <w:szCs w:val="18"/>
          <w:b w:val="1"/>
          <w:bCs w:val="1"/>
          <w:i w:val="1"/>
          <w:iCs w:val="1"/>
          <w:color w:val="auto"/>
        </w:rPr>
        <w:t>Patent reform legislation could increase the uncertainties and costs surrounding the prosecution of our patent applications and the enforcement or defense of our issued patents.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September 16, 2011, the Leahy-Smith America Invents Act, or the Leahy-Smith Act, was signed into law. The Leahy-Smith Act includes a number of significant changes to U.S. patent law. These include provisions that affect the way patent applications are prosecuted in the United States, redefine prior art and may also affect patent litigation. The USPTO recently developed new regulations and procedures to govern administration of the Leahy-Smith Act, and many of the substantive changes to patent law associated with the Leahy-Smith Act, and in particular, the first-to-file provisions, only became effective on March 16, 2013.</w:t>
      </w:r>
    </w:p>
    <w:p>
      <w:pPr>
        <w:spacing w:after="0" w:line="190"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 xml:space="preserve">The Leahy-Smith Act and its implementation could increase the uncertainties and costs surrounding the prosecution of our patent applications and the enforcement or defense of our issued patents. For instance, the Leahy-Smith Act established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and post grant review procedures that has lowered the burden of proof for invalidity challenges to issued patents and limited the ability to amend patent claims in response to such challenges. In addition, patent reform legislation may pass in the future that could lead to additional uncertainties and increased costs surrounding the prosecution, enforcement and defense of our owned and licensed patents and/or patent applications.</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become involved in lawsuits to protect or enforce our patents or other intellectual property, which could be expensive, time consuming and unsuccessful.</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Competitors may infringe our issued patents or other intellectual property. To counter infringement or unauthorized use, we may be required to file infringement claims, which can be expensive and time consuming. Any claims we assert against perceived infringers could provoke those parties to assert counterclaims against us alleging that we infringe their intellectual property rights.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or its prior use by a third party. An adverse result in any litigation proceeding could put one or more of our patents at risk of being invalidated or interpreted narrowly, which would undermine our competitive position.</w:t>
      </w:r>
    </w:p>
    <w:p>
      <w:pPr>
        <w:spacing w:after="0" w:line="16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Third parties may initiate legal proceedings alleging that we are infringing their intellectual property rights, the outcome of which would be uncertain and could significantly harm our business.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Our commercial success depends upon our ability, and the ability of any collaborators, to develop, manufacture, market and sell our product candidates and use our proprietary technologies without infringing the proprietary rights of third parties. There is considerable intellectual property litigation in the biotechnology and pharmaceutical industries. In particular, we are focused on developing product candidates based on widely used therapeutic agents or drugs, many of which may be protected by proprietary rights of third parties.</w:t>
      </w:r>
    </w:p>
    <w:p>
      <w:pPr>
        <w:spacing w:after="0" w:line="18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Although we seek to develop proprietary prodrug formulations that do not infringe the intellectual property rights of others, we may become party to, or threatened with, future adversarial proceedings or litigation, domestic or foreign, regarding intellectual property rights with respect to our prodrugs or other aspects of our technology, including, for example, interference or derivation proceedings before the USPTO. Third parties may assert infringement claims against us based on existing patents or patents that may be granted in the future.</w:t>
      </w:r>
    </w:p>
    <w:p>
      <w:pPr>
        <w:spacing w:after="0" w:line="18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we are found to infringe a third party’s intellectual property rights, we could be required to obtain a license from such third party to continue developing and marketing our technology and drugs. However, we may not be able to obtain any required license on commercially reasonable terms, or at all. Even if we were able to obtain a license, it could be non-exclusive, thereby giving our competitors access to the same technologies licensed to us. We could be forced, including by court order, to cease commercializing the infringing technology or product. In addition, we could be found liable for monetary damages, including treble damages and attorneys’ fees if we are found to have willfully infringed a patent. A finding of infringement could prevent us from commercializing our product candidates or force us to cease some or all of our business operations.</w:t>
      </w:r>
    </w:p>
    <w:p>
      <w:pPr>
        <w:spacing w:after="0" w:line="1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Competing products may also be sold in other countries in which our patent coverage might not exist or be as strong. If we lose a foreign patent lawsuit alleging our infringement of a competitor’s patent, we could be prevented from marketing our products in one or more foreign countries. As a result, our ability to grow our business and compete in the market may be harmed.</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23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Even if resolved in our favor, litigation or other legal proceedings relating to intellectual property claims may cause us to incur significant expenses and could distract our technical and management personnel from their normal responsibilities.</w:t>
      </w:r>
    </w:p>
    <w:p>
      <w:pPr>
        <w:spacing w:after="0" w:line="17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there could be public announcements of the results of hearings, motions or other interim proceedings or developments. If securities analysts or investors perceive these results to be negative, it could hurt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Some of our competitors may be able to sustain the costs of such litigation or proceedings more effectively than we can because of their greater financial resources. Uncertainties resulting from the initiation and continuation of patent litigation or other proceedings could compromise our ability to compete in the marketplace.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need to license intellectual property from third parties, and such licenses may not be available or may not be available on commercially reasonable terms.</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A third party may hold intellectual property rights, including patent rights, which are important or necessary to the development of our product candidates. It may be necessary for us to use the patented or proprietary technology of third parties to commercialize our product candidates, in which case we would be required to obtain a license from these third parties. Such a license may not be available on commercially reasonable terms, or at all, and we could be forced to accept unfavorable contractual terms. If we are unable to obtain such licenses on commercially reasonable terms, our business could be harmed.</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or our third-party licensors fail to comply with our obligations in our intellectual property licenses and funding arrangements with third parties, we could lose rights that are important to our business.</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are currently party to license agreements for technologies that we anticipate using in our product development activities. In the future, we may become party to licenses that are important for product development and commercialization. If we or our third-party licensors fail to comply with the obligations under current or future license and funding agreements, our counterparties may have the right to terminate these agreements, we may be forced to terminate these agreement or we may no longer effectively rely on any licenses to us under these agreements, in which event we might not be able to develop, manufacture or market any product or utilize any technology that is covered by these agreements or may face other penalties under the agreements. Such an occurrence could materially and adversely affect the value of a product candidate being developed under any such agreement or could restrict our drug discovery activities. Termination of these agreements or reduction or elimination of our rights under these agreements may result in our having to negotiate new or reinstated agreements with less favorable terms or cause us to lose our rights under these agreements, including our rights to important intellectual property or technology.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required to reduce the scope of our intellectual property due to third-party intellectual property claims.</w:t>
      </w:r>
    </w:p>
    <w:p>
      <w:pPr>
        <w:spacing w:after="0" w:line="2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Our competitors may have filed, and may in the future file, patent applications covering technology similar to ours. Any such patent application may have priority over our patent applications, which could further require us to obtain rights to issued patents covering such technologies. If another party has filed a U.S. patent application on inventions similar to ours that claims priority to an application filed prior to March 16, 2013, we may have to participate in an interference proceeding declared by the USPTO to determine priority of invention in the United States. The costs of these proceedings could be substantial, and it is possible that such efforts would be unsuccessful if, unbeknownst to us, the other party had independently arrived at the same or similar invention prior to our own invention, resulting in a loss of our U.S. patent position with respect to such inventions. In addition, changes enacted on March 16, 2013, to the U.S. patent laws under the Leahy-Smith Act resulted in the United States changing from a “first to invent” country to a “first to file” country. As a result, we may lose the ability to obtain a patent if another party files with the USPTO first and could become involved in proceedings before the USPTO to resolve disputes related to inventorship. We may also become involved in similar proceedings in other jurisdictions.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Furthermore, recent changes in U.S. patent law under the Leahy-Smith Act allow for post-issuance challenges to U.S. patents, including ex parte re-examinations,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reviews and post-grant reviews. There is significant uncertainty as to how the new laws will be applied. If our U.S. patents are challenged using such procedures, we may not prevail, possibly resulting in altered or diminished claim scope or loss of patent rights altogether. Similarly, some countries, notably Europe, also have post-grant opposition proceedings or nullify proceedings that can result in changes in scope or cancellation of patent claims.</w:t>
      </w:r>
    </w:p>
    <w:p>
      <w:pPr>
        <w:spacing w:after="0" w:line="19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may be subject to claims by third parties asserting that we or our employees have misappropriated their intellectual property or claiming ownership of what we regard as our own intellectual property.</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employees were previously employed at other biotechnology or pharmaceutical companies. Although we try to ensure that our employees do not use the proprietary information, show-how or know-how of others in their work for us, we may be subject to claims that these employees or we have inadvertently or otherwise used or disclosed intellectual property, including trade secrets or other proprietary information, of any such employee’s former employer. For example, in March 2012, we settled litigation regarding similar matters with Shire. We may also in the future be subject to claims that we have caused an employee to breach the terms of his or her non-competition or non-solicitation agreement. Litigation may be necessary to defend against these potential claims.</w:t>
      </w:r>
    </w:p>
    <w:p>
      <w:pPr>
        <w:spacing w:after="0" w:line="19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addition, while it is our policy to require our employees and contractors who may be involved in the development of intellectual property to execute agreements assigning such intellectual property to us, we may be unsuccessful in executing such an agreement with each party who in fact develops intellectual property that we regard as our own. Our and their assignment agreements may not be self-executing or may be breached, and we may be forced to bring claims against third parties, or defend claims they may bring against us, to determine the ownership of what we regard as our intellectual property.</w:t>
      </w:r>
    </w:p>
    <w:p>
      <w:pPr>
        <w:spacing w:after="0" w:line="15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we fail in prosecuting or defending any such claims, in addition to paying monetary damages, we may lose valuable intellectual property rights or personnel. A court could prohibit us from using technologies or features that are essential to our products, if such technologies or features are found to incorporate or be derived from the trade secrets or other proprietary information of the former employers. Even if we are successful in prosecuting or defending against such claims, litigation could result in substantial costs and could be a distraction to management. In addition, any litigation or threat thereof may adversely affect our ability to hire employees or contract with independent service providers. Moreover, a loss of key personnel or their work product could hamper or prevent our ability to commercialize our products.</w:t>
      </w:r>
    </w:p>
    <w:p>
      <w:pPr>
        <w:sectPr>
          <w:pgSz w:w="11900" w:h="16838" w:orient="portrait"/>
          <w:cols w:equalWidth="0" w:num="1">
            <w:col w:w="11240"/>
          </w:cols>
          <w:pgMar w:left="320" w:top="125" w:right="339" w:bottom="1440" w:gutter="0" w:footer="0" w:header="0"/>
        </w:sectPr>
      </w:pP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1" w:name="page82"/>
    <w:bookmarkEnd w:id="81"/>
    <w:p>
      <w:pPr>
        <w:spacing w:after="0"/>
        <w:rPr>
          <w:sz w:val="20"/>
          <w:szCs w:val="20"/>
          <w:color w:val="auto"/>
        </w:rPr>
      </w:pPr>
      <w:r>
        <w:rPr>
          <w:rFonts w:ascii="Arial" w:cs="Arial" w:eastAsia="Arial" w:hAnsi="Arial"/>
          <w:sz w:val="18"/>
          <w:szCs w:val="18"/>
          <w:b w:val="1"/>
          <w:bCs w:val="1"/>
          <w:i w:val="1"/>
          <w:iCs w:val="1"/>
          <w:color w:val="auto"/>
        </w:rPr>
        <w:t>Any trademarks we may obtain may be infringed or successfully challenged, resulting in harm to our business.</w:t>
      </w:r>
    </w:p>
    <w:p>
      <w:pPr>
        <w:spacing w:after="0" w:line="22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expect to rely on trademarks as one means to distinguish our product candidates that are approved for marketing from the products of our competitors. We have registered trademarks for LAT and KemPharm. In addition, we have solicited and applied for trademarks for the KemPharm logo and several potential trade names and logos for future product candidates. Third parties may oppose or attempt to cancel our trademark applications or trademarks, or otherwise challenge our use of the trademarks. If our trademarks are successfully challenged, we could be forced to rebrand our products, which could result in loss of brand recognition and could require us to devote resources to advertising and marketing new brands. Our competitors may infringe our trademarks and we may not have adequate resources to enforce our trademarks.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addition to seeking patent and trademark protection for our product candidates, we also rely on trade secrets, including unpatented show-how, know-how, technology and other proprietary information, to maintain our competitive position. We seek to protect our trade secrets, in part, by entering into non-disclosure and confidentiality agreements with parties who have access to them, such as our employees, corporate collaborators, outside scientific collaborators, contract manufacturers, consultants, advisors and other third parties. We also enter into confidentiality and invention or patent assignment agreements with our employees and consultants. Despite these efforts, any of these parties may breach the agreements and disclose our proprietary information, including our trade secrets.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Monitoring unauthorized uses and disclosures of our intellectual property, including our trade secrets, is difficult, and we do not know whether the steps we have taken to protect our intellectual property will be effective. In addition, we may not be able to obtain adequate remedies for any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w:t>
      </w:r>
    </w:p>
    <w:p>
      <w:pPr>
        <w:spacing w:after="0" w:line="172"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Moreover, our competitors may independently develop or reverse engineer knowledge, methods, show-how and know-how equivalent to our trade secrets. Competitors could purchase our products and replicate some or all of the competitive advantages we derive from our development efforts for technologies on which we do not have patent protection. If any of our trade secrets were to be lawfully obtained or independently developed by a competitor, we would have no right to prevent them, or those to whom they communicate such trade secrets, from using that technology or information to compete with us. If any of our trade secrets were to be disclosed to or independently developed by a competitor, our competitive position would be harmed.</w:t>
      </w:r>
    </w:p>
    <w:p>
      <w:pPr>
        <w:spacing w:after="0" w:line="15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Outside of the U.S. we cannot be certain that any country</w:t>
      </w:r>
      <w:r>
        <w:rPr>
          <w:rFonts w:ascii="Arial" w:cs="Arial" w:eastAsia="Arial" w:hAnsi="Arial"/>
          <w:sz w:val="18"/>
          <w:szCs w:val="18"/>
          <w:color w:val="auto"/>
        </w:rPr>
        <w:t>’</w:t>
      </w:r>
      <w:r>
        <w:rPr>
          <w:rFonts w:ascii="Arial" w:cs="Arial" w:eastAsia="Arial" w:hAnsi="Arial"/>
          <w:sz w:val="18"/>
          <w:szCs w:val="18"/>
          <w:b w:val="1"/>
          <w:bCs w:val="1"/>
          <w:i w:val="1"/>
          <w:iCs w:val="1"/>
          <w:color w:val="auto"/>
        </w:rPr>
        <w:t>s patent or trademark office will not implement new rules that could seriously affect how we draft, file, prosecute and maintain patents, trademarks and patent and trademark applications.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certain that the patent or trademark offices of countries outside the United States will not implement new rules that increase costs for drafting, filing, prosecuting and maintaining patents, trademarks and patent and trademark applications or that any such new rules will not restrict our ability to file for patent protection. For example, we may elect not to seek patent protection in some jurisdictions or for some inventions to save costs. We may be forced to abandon or return the rights to specific patents due to a lack of financial resources.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Partnered Products and Product Candidates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are unable to establish sales, marketing and distribution capabilities for our product candidates, if approved, we may not be successful in commercializing any approved product candidate in the United States.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We have only a limited sales and marketing infrastructure and have no experience in the sale, marketing or distribution of pharmaceutical products. To achieve commercial success for any product candidate for which we may obtain marketing approval in the United States, we will need to enter into collaborations with one or more parties or establish our own sales and marketing organization. While we entered into the KP415 License Agreement to establish a collaboration for the commercialization of AZSTARYS and any of our other product candidates which are subject to such agreement, and we entered into the APADAZ License Agreement to establish a collaboration for the commercialization of APADAZ, we may not choose to enter into a collaboration for any future approved product. Should we decide to establish our own sales, marketing and distribution capabilities, we would encounter a number of risks. For example, recruiting and training a sales force is expensive and time consuming and could delay any product launch.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Factors that may inhibit our efforts to commercialize our product candidates on our own include:</w:t>
      </w:r>
    </w:p>
    <w:p>
      <w:pPr>
        <w:spacing w:after="0" w:line="223" w:lineRule="exact"/>
        <w:rPr>
          <w:sz w:val="20"/>
          <w:szCs w:val="20"/>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inability to recruit, train and retain adequate numbers of effective sales and marketing personnel;</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inability to access government and commercial health plan formularies or secure preferred coverage and adequate reimbursement levels;</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achieve adequate numbers of physicians to prescribe any future prodrug products;</w:t>
      </w:r>
    </w:p>
    <w:p>
      <w:pPr>
        <w:spacing w:after="0" w:line="245" w:lineRule="exact"/>
        <w:rPr>
          <w:rFonts w:ascii="Arial" w:cs="Arial" w:eastAsia="Arial" w:hAnsi="Arial"/>
          <w:sz w:val="16"/>
          <w:szCs w:val="16"/>
          <w:color w:val="auto"/>
        </w:rPr>
      </w:pPr>
    </w:p>
    <w:p>
      <w:pPr>
        <w:ind w:left="460" w:right="220" w:hanging="224"/>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liability for personnel, including sales personnel, failing to comply with applicable legal requirements;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costs associated with maintaining compliance with the FDA’s marketing and promotional requirements, including ongoing training and monitoring, as well as unforeseen costs and expenses associated with creating an independent sales and marketing organization.</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If we decide not to or are unable to establish our own sales, marketing and distribution capabilities and, instead, enter into arrangements with third parties to perform these services, our product revenue and our profitability, if any, are likely to be lower than if we were to sell, market and distribute any product candidates that we develop ourselves. For instance, under the KP415 License Agreement we are entitled to receive quarterly, tiered royalty payments ranging from a percentage in the high single digits to mid-twenties of Net Sales (as defined in the KP415 License Agreement) in the U.S. and a percentage in the low to mid-single digits of Net Sales in each country outside of the U.S., in each case subject to specified reductions under certain conditions as described in the KP415 License Agreement, as well as sales milestones based on specified sales targets. In addition, we may not be successful in entering into arrangements with third parties to sell, market and distribute our product candidates in the future, or may be unable to do so on terms that are favorable to us. Further, under the APADAZ License Agreement, we and KVK will share the quarterly net profits of APADAZ by KVK in the United States at specified tiered percentages, with the portion we receive ranging from 30% to 50% of net profits. As a result, we will be entitled to a smaller portion of the net profits of any sales of APADAZ in the United States than if we had decided to sell, market and distribute APADAZ ourselves. We likely will have little control over such third parties, including Commave and KVK, and any of them may fail to devote the necessary resources and attention to sell and market AZSTARYS, APADAZ, or any of our other product candidates, if approved, effectively. Further, we may be liable for conduct of third parties, including Commave and KVK, acting on our behalf, including failure to comply with legal requirements applicable to sales and marketing of our product or product candidates, if approved. If we do not establish sales, marketing and distribution capabilities successfully, either on our own or in collaboration with third parties, we will not be successful in commercializing AZSTARYS, APADAZ, or any of our other product candidates, if approved.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05" w:lineRule="auto"/>
        <w:rPr>
          <w:sz w:val="20"/>
          <w:szCs w:val="20"/>
          <w:color w:val="auto"/>
        </w:rPr>
      </w:pPr>
      <w:r>
        <w:rPr>
          <w:rFonts w:ascii="Arial" w:cs="Arial" w:eastAsia="Arial" w:hAnsi="Arial"/>
          <w:sz w:val="17"/>
          <w:szCs w:val="17"/>
          <w:b w:val="1"/>
          <w:bCs w:val="1"/>
          <w:i w:val="1"/>
          <w:iCs w:val="1"/>
          <w:color w:val="auto"/>
        </w:rPr>
        <w:t>AZSTARYS, APADAZ, or any of our other product candidates that may receive marketing approval, may fail to achieve the degree of market acceptance by physicians, patients, third-party payors and others in the medical community necessary for commercial success.</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AZSTARYS, APADAZ, or any of our other product candidates that may receive marketing approval, may fail to gain sufficient market acceptance by physicians, patients, third-party payors and others in the medical community. Despite the fact that APADAZ is now nationally available, we cannot guarantee that it will receive significant, if any, market acceptance in the United States. If AZSTARYS, APADAZ, or any of our other product candidates, if approved for commercial sale, do not achieve an adequate level of market acceptance, they may not generate significant product revenue and we may not become profitable. For instance, under the APADAZ License Agreement, we are entitled to milestone and royalty payments only if APADAZ sales in the United States are above specified levels. If APADAZ does not achieve an adequate level of market acceptance, it is unlikely that sales will satisfy these thresholds and we may not be entitled to any payments under the APADAZ License Agreement. Additionally, the commercialization strategy under the APADAZ License Agreement is novel and untested, and, even if successful we expect that the pricing for any sales of APADAZ will be at or near the prices of currently available generic equivalent drugs. Accordingly, we expect that APADAZ will need to achieve broad market acceptance in order for this strategy to be successful. The degree of market acceptance of AZSTARYS, APADAZ, or any of our other product candidates if approved for commercial sale, will depend on a number of factors, including:</w:t>
      </w:r>
    </w:p>
    <w:p>
      <w:pPr>
        <w:spacing w:after="0" w:line="179" w:lineRule="exact"/>
        <w:rPr>
          <w:sz w:val="20"/>
          <w:szCs w:val="20"/>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efficacy and potential advantages compared to alternative treatments, including less expensive generic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obtain differentiating claims in the labels for most of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offer our prodrug products for sale at competitive prices;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clinical indications for which our product candidates are approved;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convenience and ease of administration compared to alternative treatments;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cost of treatment in relation to alternative treatments;</w:t>
      </w:r>
    </w:p>
    <w:p>
      <w:pPr>
        <w:spacing w:after="0" w:line="222" w:lineRule="exact"/>
        <w:rPr>
          <w:rFonts w:ascii="Arial" w:cs="Arial" w:eastAsia="Arial" w:hAnsi="Arial"/>
          <w:sz w:val="18"/>
          <w:szCs w:val="18"/>
          <w:color w:val="auto"/>
        </w:rPr>
      </w:pPr>
    </w:p>
    <w:p>
      <w:pPr>
        <w:ind w:left="460" w:hanging="224"/>
        <w:spacing w:after="0" w:line="339" w:lineRule="auto"/>
        <w:tabs>
          <w:tab w:leader="none" w:pos="46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steps that prescribers and dispensers must take, since AZSTARYS and APADAZ are, and we expect that most of our other product candidates are likely going to be, considered controlled substances, as well as the perceived risks based upon their controlled substance status;</w:t>
      </w:r>
    </w:p>
    <w:p>
      <w:pPr>
        <w:spacing w:after="0" w:line="125" w:lineRule="exact"/>
        <w:rPr>
          <w:rFonts w:ascii="Arial" w:cs="Arial" w:eastAsia="Arial" w:hAnsi="Arial"/>
          <w:sz w:val="16"/>
          <w:szCs w:val="16"/>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ability to manufacture our product in sufficient quantities and yields;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availability of third-party coverage and adequate reimbursement or willingness of patients to pay out of pocket in the absence of third-party coverage;</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potential unfavorable publicity;</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any restrictions on the use, sale or distribution of AZSTARYS, APADAZ, or any of our other product candidates, including through REMS; and</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restrictions on the use of our prodrug products together with other medications.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discovering, developing or commercializing products before or more successfully than we do.</w:t>
      </w:r>
    </w:p>
    <w:p>
      <w:pPr>
        <w:spacing w:after="0" w:line="171"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industry is characterized by rapidly advancing technologies, intense competition and a strong emphasis on proprietary products. We will face competition and potential competition from a number of sources, including pharmaceutical and biotechnology companies, specialty pharmaceutical companies, generic drug companies, drug delivery companies and academic and research institutions. Our competitors may develop or market drugs that are more effective, more convenient, more widely used and less costly or have a better safety profile than our products or product candidates and these competitors may also have significantly more resources than us and be more successful than us in manufacturing and marketing their products.</w:t>
      </w:r>
    </w:p>
    <w:p>
      <w:pPr>
        <w:spacing w:after="0" w:line="15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AZSTARYS, and, if approved, KP484 will compete against currently marketed, branded and generic methylphenidate products for the treatment of ADHD. Some of these currently marketed products include Janssen’s CONCERTA, Tris Pharma’s QUILLIVANT XR and QUILLICHEW ER, Novartis’ RITALIN, FOCALIN and FOCALIN XR, UCB’s METADATE CD, Noven’s DAYTRANA, Neos Therapeutics’ CONTEMPLA XR-ODT, Ironshore Pharmaceuticals, Inc.’s JORNAY PM and Adlon Therapeutics’ ADHANSIA XR, in addition to multiple other branded and generic methylphenidate products. In addition, AZSTARYS and, if approved, KP484 will face potential competition from any other methylphenidate products for the treatment of ADHD that are currently in or which may enter into clinical development.</w:t>
      </w:r>
    </w:p>
    <w:p>
      <w:pPr>
        <w:spacing w:after="0" w:line="191" w:lineRule="exact"/>
        <w:rPr>
          <w:sz w:val="20"/>
          <w:szCs w:val="20"/>
          <w:color w:val="auto"/>
        </w:rPr>
      </w:pPr>
    </w:p>
    <w:p>
      <w:pPr>
        <w:jc w:val="both"/>
        <w:ind w:right="20"/>
        <w:spacing w:after="0" w:line="275" w:lineRule="auto"/>
        <w:rPr>
          <w:sz w:val="20"/>
          <w:szCs w:val="20"/>
          <w:color w:val="auto"/>
        </w:rPr>
      </w:pPr>
      <w:r>
        <w:rPr>
          <w:rFonts w:ascii="Arial" w:cs="Arial" w:eastAsia="Arial" w:hAnsi="Arial"/>
          <w:sz w:val="18"/>
          <w:szCs w:val="18"/>
          <w:color w:val="auto"/>
        </w:rPr>
        <w:t>Currently, there are no approved drugs in the United States for the treatment of SUD. If approved, KP879 will face potential competition from any products for the treatment of SUD that are currently in or which may enter into clinical development.</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Currently, there are no approved drugs in the United States for the treatment of IH. If approved, KP1077 could face competition from any products for the treatment of IH that are currently in or which may enter into clinical development.</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APADAZ competes against currently marketed, branded and generic IR hydrocodone/APAP combination products indicated for the short-term management of acute pain. In addition, APADAZ will face potential competition from any IR or hydrocodone/APAP combination products for the short-term management of acute pain that are currently in or may enter into clinical development.</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our potential competitors have substantially greater financial, technical and human resources than we do, as well as more experience in the development of product candidates, obtaining FDA and other regulatory approvals of products and the commercialization of those products. Consequently, our competitors may develop products for indications we are pursuing or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patient enrollment in clinical trials.</w:t>
      </w:r>
    </w:p>
    <w:p>
      <w:pPr>
        <w:spacing w:after="0" w:line="19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Our competitors also may obtain FDA or other regulatory approval for their product candidates more rapidly than we may obtain approval for ours, which could result in our competitors establishing a strong market position before we are able to enter the market. If the competitor’s product were similar to our product candidates, we may be required to seek approval via alternative pathways, such as the ANDA, which is used for the development of generic drug products. We may also be blocked from product marketing by periods of patent protection or regulatory exclusivity.</w:t>
      </w:r>
    </w:p>
    <w:p>
      <w:pPr>
        <w:spacing w:after="0" w:line="17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In addition, our ability to compete may be affected in many cases by insurers or other third-party payors seeking to encourage the use of generic drugs or giving drugs with improved attributes sufficient weight in a comparative clinical cost effectiveness analysis. For some of the indications that we are pursuing, drugs used off-label serve as cheaper alternatives to our product candidates. Their lower prices could result in significant pricing pressure, even if our product candidates are otherwise viewed as a preferable therapy. Additional drugs may become available on a generic basis over the coming years.</w:t>
      </w:r>
    </w:p>
    <w:p>
      <w:pPr>
        <w:spacing w:after="0" w:line="15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Mergers and acquisitions in the pharmaceutical and biotechnology industries may result in even more resources being concentrated among a smaller number of our competitors. Smaller and other early-stage companies may also prove to be significant competitors, particularly through collaborative arrangements with large and established companies.</w:t>
      </w:r>
    </w:p>
    <w:p>
      <w:pPr>
        <w:spacing w:after="0" w:line="18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Consequently, our competitors may develop products for the treatment of ADHD, pain or for other indications we may pursue in the future, and such competitors’ products may be more effective, better tolerated and less costly than our product candidates. Our competitors may also be more successful in manufacturing and marketing their products than we are. We will also face competition in recruiting and retaining qualified personnel and establishing clinical trial sites and subject enrollment in clinical trials.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obtain either five-year FDA regulatory exclusivity as a new chemical entity or three-year FDA regulatory exclusivity.</w:t>
      </w:r>
    </w:p>
    <w:p>
      <w:pPr>
        <w:spacing w:after="0" w:line="23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FDA provides periods of regulatory exclusivity following their approval of an NDA, which provide the holder of an approved NDA limited protection from new competition in the marketplace for the innovation represented by its approved drug. Five-year exclusivity precludes approval of 505(b)(2) applications or ANDAs by delaying the submission or approval of the application, while three-year exclusivity precludes the approval of the application. We intend to seek new chemical entity, or NCE, status for any of our prodrug product candidates as appropriate. Five years of exclusivity are available to NCEs following the approval of an NDA by the FDA. An NCE is a drug that contains no active moiety that has been approved by the FDA in any other NDA. If a product is not eligible for the NCE exclusivity, it may be eligible for three years of exclusivity. Three-year exclusivity is available to the holder of an NDA, including a 505(b)(2) NDA, for a particular condition of approval, or change to a marketed product, such as a new formulation for a previously approved product, if one or more new clinical trials, other than bioavailability or bioequivalence trials, were essential to the approval of the application and were conducted or sponsored by the applicant.</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There is a risk that the FDA may disagree with any claim that we may make that any of our prodrug product candidates are NCEs and therefore entitled to five-year exclusivity. The FDA may also take the view that the studies that we are conducting are not clinical trials, other than bioavailability and bioequivalence studies, that are essential to approval and therefore do not support three-year exclusivity. Further, to the extent that the basis for exclusivity is not clear, the FDA may determine to defer a decision until it receives an application which necessitates a decision.</w:t>
      </w:r>
    </w:p>
    <w:p>
      <w:pPr>
        <w:spacing w:after="0" w:line="17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If we do obtain either five or three years of exclusivity, such exclusivity will not block all potential competitors from the market. Competitors may be able to obtain approval for similar products with different forms of competitive differentiating mechanisms or may be able to obtain approval for similar products without a competitive differentiating mechanism.</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Even if we or our collaborators are able to commercialize AZSTARYS, APADAZ, or any of our other product candidates, if approved, they may be subject to unfavorable pricing regulations, third-party coverage and reimbursement policies.</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successful commercialization of AZSTARYS, APADAZ, and any of our other product candidates for which marketing approval is obtained, will depend, in part, on the extent to which coverage and adequate reimbursement for AZSTARYS, APADAZ, or any of our other product candidates, for which marketing approval is obtained, will be available from government payor programs at the federal and state levels, including Medicare and Medicaid, private health insurers and managed care plans and other third-party payors. Government authorities and other third-party payors decide which medical products they will pay for and establish reimbursement levels, including co-payments. A trend in the U.S. healthcare industry and elsewhere is cost containment. Government authorities and other third-party payors have attempted to control costs by limiting coverage and the amount of reimbursement for particular medical products. Increasingly, third-party payors are requiring that drug companies provide them with predetermined discounts from list prices and are challenging the prices charged for drugs and products. Coverage and reimbursement may not be available for any product that we commercialize and, even if these are available, the level of reimbursement may not be satisfactory. Inadequate reimbursement levels may adversely affect the demand for, or the price of, AZSTARYS, APADAZ, or any of our other product candidates for which we obtain marketing approval. Obtaining and maintaining adequate reimbursement for our prodrug products may be difficult. We may be required to conduct expensive pharmacoeconomic studies to justify coverage and reimbursement or the level of reimbursement relative to other therapies. Moreover, the trend has been for government and commercial health plans and their pharmacy benefit managers to commoditize drug products through therapeutic equivalence determinations, making formulary decisions based on cost. If coverage and adequate reimbursement are not available or reimbursement is available only at limited levels, we may not be able to successfully commercialize AZSTARYS under the KP415 License Agreement, APADAZ under the APADAZ License Agreement, or commercialize any of our other product candidates for which marketing approval is obtained.</w:t>
      </w:r>
    </w:p>
    <w:p>
      <w:pPr>
        <w:spacing w:after="0" w:line="17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There may be significant delays in obtaining coverage and reimbursement for newly approved prodrug products, and coverage may be more limited than the indications for which the product is approved by the FDA or similar regulatory authorities outside the United States. Moreover, eligibility for coverage and reimbursement does not imply that a product will be paid for in all cases or at a rate that covers our costs, including research, development, manufacture, sale and distribution expenses. Interim reimbursement levels for new prodrug products, if applicable, may also not be sufficient to cover our costs and may not be made permanent. Reimbursement rates may vary according to the use of the product and the clinical setting in which it is used, may be based on reimbursement levels already set for lower cost drugs and may be incorporated into existing payments for other services. Net prices for prodrug products may be reduced by mandatory discounts or rebates required by government healthcare programs or private payors and by any future relaxation of laws that presently restrict imports of drugs from countries where they may be sold at lower prices than in the United States. Private third-party payors often rely upon Medicare coverage policy and payment limitations in setting their own reimbursement policies. Except for certain government health care programs, such as the Department of Defense’s TRICARE Uniform Formulary, no uniform policy requirement for coverage and reimbursement for drug products exists among third-party payors in the United States. Even state Medicaid programs have their own preferred drug lists that may disadvantage non-preferred brand drugs. Therefore, coverage and reimbursement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at all. Our inability to promptly obtain coverage and adequate reimbursement rates from both government-funded and private payors for any approved prodrug products that we develop could significantly harm our operating results, our ability to raise capital needed to commercialize prodrugs and our overall financial condition.</w:t>
      </w:r>
    </w:p>
    <w:p>
      <w:pPr>
        <w:spacing w:after="0" w:line="17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regulations that govern marketing approvals, pricing, coverage and reimbursement for new drugs vary widely from country to country. Current and future legislation may significantly change the approval requirements in ways that could involve additional costs and cause delays in obtaining approvals. Some countries require approval of the sale price of a product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and negatively impact the revenue able to be generated from the sale of the product in that country. Adverse pricing limitations may hinder our ability to recoup our investment in one or more product candidates, even if our product candidates obtain marketing approval.</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There can be no assurance that AZSTARYS, APADAZ, or any of our other product candidates, if they are approved for sale in the United States or in other countries, will be considered medically reasonable and necessary for a specific indication, that they will be considered cost-effective by third-party payors, that coverage or an adequate level of reimbursement will be available, or that third-party payors’ reimbursement policies will not adversely affect the ability to sell AZSTARYS under the KP415 License Agreement, APADAZ under the APADAZ License Agreement, or our ability to sell any of any of our other product candidates profitably if they are approved for sale.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subject to enforcement action if we engage in improper marketing or promotion of our products.</w:t>
      </w:r>
    </w:p>
    <w:p>
      <w:pPr>
        <w:spacing w:after="0" w:line="2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FDA closely regulates promotional materials and other promotional activities. Even if the FDA initially approves product labeling that includes a description of our improved attribute claims, the FDA may object to our marketing claims and product advertising campaigns. Failure to comply with the FDA’s promotional, marketing and advertising laws and regulations could lead to the issuance of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 Any of these consequences would harm the commercial success of our products.</w:t>
      </w:r>
    </w:p>
    <w:p>
      <w:pPr>
        <w:spacing w:after="0" w:line="18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Further, our promotional materials, statements and training methods must comply with the FDA’s prohibition of the promotion of unapproved, or off-label, use. Physicians may use our products off-label, as the FDA does not restrict or regulate a physician’s independent choice of treatment within the practice of medicine. However, if the FDA determines that our promotional materials, statements or training constitutes promotion of an off-label use, it could request that we modify our promotional materials, statements or training methods or subject us to regulatory or enforcement actions, such as the issuance of an untitled letter, a warning letter, injunction, seizure, civil fine, disgorgement of money, operating restrictions or criminal penalties. We may also be subject to actions by other governmental entities or private parties, such as the False Claims Act, civil whistleblower or “qui tam” actions. It is also possible that other federal, state or foreign enforcement authorities might take action if they consider our promotional or training materials to constitute promotion of an off-label use, which could result in significant fines or penalties under other statutory authorities, such as laws prohibiting false claims for reimbursement. In that event, our reputation could be damaged and adoption of the products could be impaired. In addition, the off-label use of our products may increase the risk of product liability claims. Product liability claims are expensive to defend and could divert our management’s attention, result in substantial damage awards against us and harm our reputation.</w:t>
      </w:r>
    </w:p>
    <w:p>
      <w:pPr>
        <w:spacing w:after="0" w:line="179"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to limit commercialization of AZSTARYS, APADAZ or any of our other product candidates that we may develop.</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face an inherent risk of product liability exposure related to the testing of our product candidates in human clinical trials and will face an even greater risk as AZSTARYS, APADAZ and any of our other product candidates that may be approved in the future, are commercialized. This includes the risk that our products may be misused. For example, AZSTARYS and APADAZ do, and we anticipate that any of our other product candidates we may choose to develop in the future, if approved, may carry a boxed warning regarding lethality if our oral tablets or capsules are prepared for injection and hepatotoxicity, as is commonly done by abusers of opioids. If we cannot successfully defend ourselves against claims that our product candidates or products caused injuries, we will incur substantial liabilities on behalf of ourselves. Regardless of merit or eventual outcome, liability claims may result in:</w:t>
      </w:r>
    </w:p>
    <w:p>
      <w:pPr>
        <w:spacing w:after="0" w:line="162" w:lineRule="exact"/>
        <w:rPr>
          <w:sz w:val="20"/>
          <w:szCs w:val="20"/>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decreased demand for AZSTARYS, APADAZ and any of our other product candidates that we may develop;</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substantial monetary awards paid to trial participants or patients;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product recalls, withdrawals or labeling revisions and marketing or promotional restrictions;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reduced resources of our management to pursue our business strategy;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inability to successfully commercialize AZSTARYS, APADAZ, or any of our other product candidates that might be approved in the future.</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currently hold $10.0 million in product liability insurance coverage in the aggregate, with a per incident limit of $10.0 million, which may not be adequate to cover all liabilities that we may incur. We may need to increase our insurance coverage as we expand our clinical trials or upon commencement of commercialization of any product approved in the future. Insurance coverage is increasingly expensive. We may not be able to maintain insurance coverage at a reasonable cost or in an amount adequate to satisfy any liability that may arise.</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international operations could materially adversely affect our business.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We expect to engage in significant cross-border activities, and we will be subject to risks related to international operations, including:</w:t>
      </w:r>
    </w:p>
    <w:p>
      <w:pPr>
        <w:spacing w:after="0" w:line="223" w:lineRule="exact"/>
        <w:rPr>
          <w:sz w:val="20"/>
          <w:szCs w:val="20"/>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different regulatory requirements for maintaining approval of drugs in foreign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differing payor reimbursement regimes, governmental payors or patient self-pay systems and price controls;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reduced protection for contractual and intellectual property rights in some countries;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right="580" w:hanging="224"/>
        <w:spacing w:after="0" w:line="27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North America;</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tighter restrictions on privacy and the collection and use of patient and clinical trial participant data;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Regulatory Approval of Our Product Candidates and Other Legal Compliance Matters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AZSTARYS, APADAZ and any of our other product candidates from being marketed abroad.</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order to market and sell our products in the European Union and any other jurisdictions, we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failure to obtain approval in one jurisdiction may impact our ability to obtain approval elsewhere. We may not be able to file for marketing approvals and may not receive necessary approvals to commercialize our products in any market.</w:t>
      </w:r>
    </w:p>
    <w:p>
      <w:pPr>
        <w:spacing w:after="0" w:line="170"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 variety of risks associated with marketing AZSTARYS, APADAZ and any of our other product candidates internationally, if approved, could affect our business.</w:t>
      </w:r>
    </w:p>
    <w:p>
      <w:pPr>
        <w:spacing w:after="0" w:line="171" w:lineRule="exact"/>
        <w:rPr>
          <w:sz w:val="20"/>
          <w:szCs w:val="20"/>
          <w:color w:val="auto"/>
        </w:rPr>
      </w:pPr>
    </w:p>
    <w:p>
      <w:pPr>
        <w:jc w:val="both"/>
        <w:spacing w:after="0" w:line="339" w:lineRule="auto"/>
        <w:rPr>
          <w:sz w:val="20"/>
          <w:szCs w:val="20"/>
          <w:color w:val="auto"/>
        </w:rPr>
      </w:pPr>
      <w:r>
        <w:rPr>
          <w:rFonts w:ascii="Arial" w:cs="Arial" w:eastAsia="Arial" w:hAnsi="Arial"/>
          <w:sz w:val="16"/>
          <w:szCs w:val="16"/>
          <w:color w:val="auto"/>
        </w:rPr>
        <w:t>We may seek regulatory approval for AZSTARYS, APADAZ and any of our other product candidates, if approved, outside of the United States and, accordingly, we expect that we will be subject to additional risks related to operating in foreign countries if we obtain the necessary approvals, including:</w:t>
      </w:r>
    </w:p>
    <w:p>
      <w:pPr>
        <w:spacing w:after="0" w:line="125" w:lineRule="exact"/>
        <w:rPr>
          <w:sz w:val="20"/>
          <w:szCs w:val="20"/>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22" w:lineRule="exact"/>
        <w:rPr>
          <w:rFonts w:ascii="Arial" w:cs="Arial" w:eastAsia="Arial" w:hAnsi="Arial"/>
          <w:sz w:val="18"/>
          <w:szCs w:val="18"/>
          <w:color w:val="auto"/>
        </w:rPr>
      </w:pPr>
    </w:p>
    <w:p>
      <w:pPr>
        <w:ind w:left="460" w:right="20" w:hanging="224"/>
        <w:spacing w:after="0" w:line="27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potential for so-called parallel importing, which is what happens when a local seller, faced with high or higher local prices, opts to import goods from a foreign market with low or lower prices rather than buying them locally;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comparable foreign regulations;</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These and other risks associated with our international operations may compromise our ability to achieve or maintain profitability.</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AZSTARYS is, APADAZ is, and any of our other product candidates for which we obtain marketing approval could be, subject to post-marketing restrictions or recall or withdrawal from the market, and we may be subject to penalties if we or our collaborators fail to comply with regulatory requirements or if we or our collaborators experience unanticipated problems with AZSTARYS, APADAZ or any of our other product candidates when, and if, approved.</w:t>
      </w:r>
    </w:p>
    <w:p>
      <w:pPr>
        <w:spacing w:after="0" w:line="185"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AZSTARYS is, APADAZ is, and any of our other product candidates for which we obtain marketing approval could be, subject to a comprehensive regulatory scheme, which includes the regulation of manufacturing processes, post-approval clinical data, labeling, advertising, marketing, distribution and promotional activities for such product, by the FDA and other regulatory authorities. For example, we are required to conduct pediatric studies related to AZSTARYS to determine its safety and effectiveness for the claimed indication in pediatric patients. Under the KP415 License Agreement, Commave will be responsible for these regulatory activities going forward, and we cannot guarantee they will be complied with. In addition, we are required to conduct pediatric studies related to APADAZ to determine its safety and effectiveness for the claimed indication in pediatric patients. Under the APADAZ License Agreement, KVK will be responsible for these regulatory activities going forward, and we cannot guarantee they will be complied with. These requirements include submissions of safety and other post-marketing information and reports, registration and listing requirements, payment of substantial annual product and establishment fees, labeling requirements, promotional, marketing and advertising requirements, requirements related to further development, packaging, storage and distribution requirements, cGMP requirements relating to manufacturing, quality control, quality assurance and corresponding maintenance of records and documents, requirements regarding the distribution of samples to physicians and recordkeeping. If there are any modifications to the drug, including changes in indications, labeling, manufacturing processes or facilities, or new safety issues arise, a new or supplemental NDA, a post-implementation notification or other reporting may be required or requested depending on the change, which may require additional data or additional preclinical studies and clinical trials.</w:t>
      </w:r>
    </w:p>
    <w:p>
      <w:pPr>
        <w:spacing w:after="0" w:line="18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AZSTARYS and APADAZ are, and if marketing approval of any of our other product candidates is granted, they may be, subject to limitations on the indicated uses for which the product may be marketed or to the conditions of approval, including the requirement to implement a REMS, which could involve requirements for, among other things, a medication guide, special training for prescribers and dispensers, and patient registries. For example, in September 2018, the FDA approved the Opioid Analgesic REMS for ER/LA and IR opioids as one strategy among multiple national and state efforts to reduce the risk of abuse, misuse, addiction, overdose, and deaths due to prescription opioid analgesics. APADAZ is subject to this REMS, and we anticipate that any of our other opioid product candidates that we may choose to develop in the future, if approved by the FDA, are likely to also be subject to a REMS requirement.</w:t>
      </w:r>
    </w:p>
    <w:p>
      <w:pPr>
        <w:spacing w:after="0" w:line="193"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AZSTARYS and APADAZ do, and if any of our other product candidates receive marketing approval they may, have a label that limits their approved uses, including more limited subject populations, than we request, and regulatory authorities may require that contraindications, warnings or precautions be included in the product labeling, including a boxed warning, or may approve a product candidate with a label that does not include the labeling claims necessary or desirable for the successful commercialization of that product candidate, which could limit sales of the product. For instance, we expect that at least some of our product candidates would likely be required to carry boxed warnings, including warnings regarding tampering, lethality if our oral tablets or capsules are prepared for injection and hepatotoxicity.</w:t>
      </w:r>
    </w:p>
    <w:p>
      <w:pPr>
        <w:spacing w:after="0" w:line="19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the product. APADAZ is subject to a post-marketing requirement for four deferred pediatric assessments that must be completed pursuant to the FDA’s February 2018 approval letter. The FDA closely regulates the post-approval marketing and promotion of products to ensure products are marketed only for the approved indications and in accordance with the provisions of the approved labeling. The FDA imposes stringent restrictions on manufacturers’ communications regarding off-label use and if we do not market our prodrug products, if any, for their approved indications, we may be subject to enforcement action for off-label marketing. Violations of the Federal Food, Drug and Cosmetic Act relating to the promotion of prescription drugs may lead to a number of actions and penalties, including warning letters, cyber letters, or untitled letters, adverse publicity, the requirement for dear-health-care-provider letters or other corrective information, fines and other monetary penalties, civil or criminal prosecution, including False Claims Act liability, restrictions on our operations and other operating requirements through consent decrees or corporate integrity agreements, debarment, exclusion from participation in federal health care programs and refusal of government contracts or future orders under existing contracts, among other consequences.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In addition, later discovery of previously unknown adverse events or other problems with our prodrug products, including those related to manufacturers or manufacturing processes, or failure to comply with regulatory requirements, may have negative consequences, including:</w:t>
      </w:r>
    </w:p>
    <w:p>
      <w:pPr>
        <w:spacing w:after="0" w:line="171" w:lineRule="exact"/>
        <w:rPr>
          <w:sz w:val="20"/>
          <w:szCs w:val="20"/>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adverse inspectional findings;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such prodrug products, distribution, manufacturers or manufacturing processes;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additional warnings or other restrictions on the product’s indicated use, label or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issuance of safety alerts, dear-healthcare-provider letters, press releases or other communications containing warnings regarding the product;</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requirement to establish or modify a REMS;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requirement to conduct post-marketing studies or surveillance;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recall or withdrawal of the prodrug products from the market;</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 and other delays;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clinical holds, or the suspension or termination of ongoing clinical trials;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suspension or withdrawal of marketing approvals or other permits or voluntary suspension of marketing;</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prodrug products;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refusal of government contracts or future orders under existing contracts, exclusion from participation in federal health care programs, and corporate integrity agreements;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seizure or detention; or</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False Claims Act liability.</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Non-compliance with European Union requirements regarding safety monitoring or pharmacovigilance, and with requirements related to the development of drugs for the pediatric population, can also result in significant financial penalties. Similarly, failure to comply with the European Union’s requirements regarding the protection of personal information can also lead to significant penalties and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employees, independent contractors, principal investigators, CROs, consultants, commercial collaborators, contract manufacturers, service providers and other vendors may engage in misconduct or other improper activities, including non-compliance with regulatory standards and requirements.</w:t>
      </w:r>
    </w:p>
    <w:p>
      <w:pPr>
        <w:spacing w:after="0" w:line="18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are exposed to the risk of misconduct by employees and independent contractors, such as principal investigators, CROs, consultants, commercial collaborators, contract manufacturers, service providers and other vendors. Such misconduct could include failures to comply with FDA regulations, to provide accurate information to the FDA, to comply with manufacturing standards that we have established or that are established by regulation, to comply with federal and state contracting and healthcare fraud and abuse laws, to report drug pricing, financial information or data accurately or to disclose unauthorized activities to us. In particular, sales, marketing and other business arrangements in the healthcare industry are subject to extensive laws intended to prevent fraud, kickbacks, self-dealing and other abusive practices. These laws may restrict or prohibit a wide range of business activities, including, but not limited to, research, manufacturing, distribution, pricing, discounting, marketing, advertising and promotion, sales commissions, customer incentive programs and other business arrangements. Employee and independent contractor misconduct could also involve the improper use of individually identifiable information, including, without limitation, information obtained in the course of clinical trials, which could result in regulatory sanctions and serious harm to our reputation. In addition, federal procurement laws impose substantial penalties for misconduct in connection with government contracts and require certain contractors to maintain a code of business ethics and conduct and self-disclose credible evidence of False Claims Act violations. It is not always possible to identify and deter employee and independent contractor misconduct, and any precautions we take to detect and prevent improper activities may not be effective in controlling unknown or unmanaged risks or losses or in protecting us from governmental investigations or other actions or lawsuits stemming from a failure to be in compliance with such laws. If any such actions are instituted against us, those actions could have a significant impact on our business, including the imposition of warning letters, untitled letters, cyber letters, seizure or recall of products, injunctions, withdrawal of product approval or other permits, clinical holds and termination of clinical trials, FDA refusal to approve pending applications, product detentions, FDA or DEA consent decrees, restriction or suspension of manufacturing and distribution, debarment, refusal to allow product import or export, adverse publicity, refusal of government contracts or future orders under existing contracts, dear-health-care-provider letters or other warnings or corrective information, recalls, delays, significant civil, criminal and administrative penalties including False Claims Act liability, damages, monetary fines, disgorgement, restitution, possible exclusion from participation in Medicare, Medicaid and other federal healthcare programs, corporate integrity agreements, contractual damages, reputational harm, diminished profits and future earnings and curtailment or restructuring of our operations, among other consequences, any of which could adversely affect our ability to operate.</w:t>
      </w:r>
    </w:p>
    <w:p>
      <w:pPr>
        <w:spacing w:after="0" w:line="389" w:lineRule="exact"/>
        <w:rPr>
          <w:sz w:val="20"/>
          <w:szCs w:val="20"/>
          <w:color w:val="auto"/>
        </w:rPr>
      </w:pPr>
    </w:p>
    <w:p>
      <w:pPr>
        <w:jc w:val="both"/>
        <w:spacing w:after="0" w:line="310" w:lineRule="auto"/>
        <w:rPr>
          <w:sz w:val="20"/>
          <w:szCs w:val="20"/>
          <w:color w:val="auto"/>
        </w:rPr>
      </w:pPr>
      <w:r>
        <w:rPr>
          <w:rFonts w:ascii="Arial" w:cs="Arial" w:eastAsia="Arial" w:hAnsi="Arial"/>
          <w:sz w:val="16"/>
          <w:szCs w:val="16"/>
          <w:b w:val="1"/>
          <w:bCs w:val="1"/>
          <w:i w:val="1"/>
          <w:iCs w:val="1"/>
          <w:color w:val="auto"/>
        </w:rPr>
        <w:t>Our current and future relationships with healthcare professionals, principal investigators, consultants, customers and third-party payors in the United States and elsewhere may be subject, directly or indirectly, to applicable anti-kickback, fraud and abuse, false claims, physician payment transparency, health information privacy and security and other healthcare laws and regulations, which could expose us to penalties.</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Healthcare providers and third-party payors in the United States and elsewhere will play a primary role in the recommendation and prescription of our products, as well as any product candidates for which we obtain marketing approval. Our current and future arrangements with healthcare professionals, principal investigators, consultants, customers and third-party payors may expose us to broadly applicable fraud and abuse and other healthcare laws, including, without limitation, the Anti-Kickback Statute and the False Claims Act, that may constrain the business or financial arrangements and relationships through which we sell, market and distribute any product candidates for which we obtain marketing approval. In addition, we may be subject to physician payment transparency laws and patient privacy and security regulation by the federal government and by the U.S. states and foreign jurisdictions in which we conduct our business. The applicable federal, state and foreign healthcare laws that may affect our ability to operate include the following:</w:t>
      </w:r>
    </w:p>
    <w:p>
      <w:pPr>
        <w:spacing w:after="0" w:line="189" w:lineRule="exact"/>
        <w:rPr>
          <w:sz w:val="20"/>
          <w:szCs w:val="20"/>
          <w:color w:val="auto"/>
        </w:rPr>
      </w:pPr>
    </w:p>
    <w:p>
      <w:pPr>
        <w:jc w:val="both"/>
        <w:ind w:left="460" w:hanging="224"/>
        <w:spacing w:after="0" w:line="258" w:lineRule="auto"/>
        <w:tabs>
          <w:tab w:leader="none" w:pos="4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paying remuneration, directly or indirectly, in cash or in kind, to induce or reward, or in return for, either the referral of an individual for, or the purchase, lease, order or arranging for the purchase, lease or order of, any good, facility, item or service, for which payment may be made, in whole or in part, under federal and state healthcare programs such as Medicare and Medicaid;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ind w:left="460" w:hanging="224"/>
        <w:spacing w:after="0" w:line="292"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federal civil and criminal false claims laws, including the False Claims Act, which impose criminal and civil penalties, including through civil whistleblower or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against individuals or entities for, among other things, knowingly presenting, or causing to be presented, to the federal government, including the Medicare and Medicaid programs, claims for payment that are false or fraudulent or making or using a false record or statement material to a false or fraudulent claim or to avoid, decrease or conceal an obligation to pay money to the federal government, including erroneous pricing information on which mandatory rebates, discounts and reimbursement amounts are based, or in the case of the False Claims Act, for violations of the federal Anti-Kickback Statute in connection with a claim for payment or for conduct constituting reckless disregard for the truth;</w:t>
      </w:r>
    </w:p>
    <w:p>
      <w:pPr>
        <w:spacing w:after="0" w:line="161" w:lineRule="exact"/>
        <w:rPr>
          <w:rFonts w:ascii="Arial" w:cs="Arial" w:eastAsia="Arial" w:hAnsi="Arial"/>
          <w:sz w:val="16"/>
          <w:szCs w:val="16"/>
          <w:color w:val="auto"/>
        </w:rPr>
      </w:pPr>
    </w:p>
    <w:p>
      <w:pPr>
        <w:jc w:val="both"/>
        <w:ind w:left="460" w:hanging="224"/>
        <w:spacing w:after="0" w:line="262"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civil monetary penalties statute, which imposes penalties against any person or entity who, among other things, is determined to have presented or caused to be presented a claim to a federal health program that the person knows or should know is for an item or service that was not provided as claimed or is false or fraudulent;</w:t>
      </w:r>
    </w:p>
    <w:p>
      <w:pPr>
        <w:spacing w:after="0" w:line="182" w:lineRule="exact"/>
        <w:rPr>
          <w:rFonts w:ascii="Arial" w:cs="Arial" w:eastAsia="Arial" w:hAnsi="Arial"/>
          <w:sz w:val="18"/>
          <w:szCs w:val="18"/>
          <w:color w:val="auto"/>
        </w:rPr>
      </w:pPr>
    </w:p>
    <w:p>
      <w:pPr>
        <w:jc w:val="both"/>
        <w:ind w:left="460" w:hanging="224"/>
        <w:spacing w:after="0" w:line="253"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Health Insurance Portability and Accountability Act, or HIPAA, which created additional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whether the payor is public or private, knowingly and willfully embezzling or stealing from a health care benefit program, willfully obstructing a criminal investigation of a health care offense and knowingly and willfully falsifying, concealing or covering up by any trick or device a material fact or making any materially false statements in connection with the delivery of, or payment for, healthcare benefits, items or services relating to healthcare matters;</w:t>
      </w:r>
    </w:p>
    <w:p>
      <w:pPr>
        <w:spacing w:after="0" w:line="192" w:lineRule="exact"/>
        <w:rPr>
          <w:rFonts w:ascii="Arial" w:cs="Arial" w:eastAsia="Arial" w:hAnsi="Arial"/>
          <w:sz w:val="18"/>
          <w:szCs w:val="18"/>
          <w:color w:val="auto"/>
        </w:rPr>
      </w:pPr>
    </w:p>
    <w:p>
      <w:pPr>
        <w:jc w:val="both"/>
        <w:ind w:left="460" w:hanging="224"/>
        <w:spacing w:after="0" w:line="25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respective implementing regulations, which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covered subcontractors, with respect to safeguarding the privacy, security and transmission of individually identifiable health information;</w:t>
      </w:r>
    </w:p>
    <w:p>
      <w:pPr>
        <w:spacing w:after="0" w:line="190" w:lineRule="exact"/>
        <w:rPr>
          <w:rFonts w:ascii="Arial" w:cs="Arial" w:eastAsia="Arial" w:hAnsi="Arial"/>
          <w:sz w:val="18"/>
          <w:szCs w:val="18"/>
          <w:color w:val="auto"/>
        </w:rPr>
      </w:pPr>
    </w:p>
    <w:p>
      <w:pPr>
        <w:jc w:val="both"/>
        <w:ind w:left="460" w:hanging="224"/>
        <w:spacing w:after="0" w:line="288" w:lineRule="auto"/>
        <w:tabs>
          <w:tab w:leader="none" w:pos="46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federal Open Payments program, created under Section 6002 of the Affordable Care Act, or the ACA, and its implementing regulations, which imposes new annual reporting requirements for manufacturers of drugs, devices, biologicals and medical supplies for which payment is available under Medicare, Medicaid or the Children’s Health Insurance Program, with certain exceptions, to annually report certain payments and transfers of value provided to physicians (defined to include doctors, dentists, optometrists, podiatrists and chiropractors) and teaching hospitals, or to entities or individuals at the request of, or designated on behalf of, the physicians and teaching hospitals, and to report annually certain ownership and investment interests held by physicians and their immediate family members, and, beginning in 2022, will require applicable manufacturers to report information regarding payments and other transfers of value provided during the previous year to physician assistants, nurse practitioners, clinical nurse specialists, certified nurse anesthetists, anesthesiologist assistants and certified nurse-midwives; and</w:t>
      </w:r>
    </w:p>
    <w:p>
      <w:pPr>
        <w:spacing w:after="0" w:line="168"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comparable state and foreign laws, which may be broader in scope than the analogous federal laws and may differ from each other in significant ways.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These laws may affect our sales, marketing, and other promotional activities by imposing administrative and compliance burdens on us.</w:t>
      </w:r>
    </w:p>
    <w:p>
      <w:pPr>
        <w:spacing w:after="0" w:line="2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Efforts to ensure that our current and future business arrangements with third parties will comply with applicable healthcare laws and regulations may involve substantial costs. It is possible that governmental authorities will conclude that our business practices may not comply with current or future statutes, regulations or case law involving applicable fraud and abuse or other healthcare laws, or that our compliance systems are inadequate to detect and report such conduct or to report accurate pricing information to the government. If our operations are found to be in violation of any of these laws or any other governmental regulations that may apply to us, we may be subject to significant civil, criminal and administrative penalties, including, without limitation, damages, fines, imprisonment, exclusion from participation in government healthcare programs, such as Medicare and Medicaid, corporate integrity agreements or similar agreements to resolve allegations of non-compliance with these laws, and the curtailment or restructuring of our operations, which could significantly harm our business. If any of the physicians or other healthcare providers or entities with whom we currently, or expect to, do business, including future collaborators, is found not to be in compliance with applicable laws, they and we may be subject to significant penalties and potential exclusion from participation in healthcare programs as a result of their non-compliance.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78" w:lineRule="auto"/>
        <w:rPr>
          <w:sz w:val="20"/>
          <w:szCs w:val="20"/>
          <w:color w:val="auto"/>
        </w:rPr>
      </w:pPr>
      <w:r>
        <w:rPr>
          <w:rFonts w:ascii="Arial" w:cs="Arial" w:eastAsia="Arial" w:hAnsi="Arial"/>
          <w:sz w:val="15"/>
          <w:szCs w:val="15"/>
          <w:b w:val="1"/>
          <w:bCs w:val="1"/>
          <w:i w:val="1"/>
          <w:iCs w:val="1"/>
          <w:color w:val="auto"/>
        </w:rPr>
        <w:t>Recently enacted and future legislation may increase the difficulty and cost for us to obtain marketing approval of our product candidates and increase the cost to commercialize AZSTARYS, APADAZ and any of our product candidates that may be approved in the future and affect the prices thereof.</w:t>
      </w:r>
    </w:p>
    <w:p>
      <w:pPr>
        <w:spacing w:after="0" w:line="10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the United States and some foreign jurisdictions, there have been a number of legislative and regulatory changes and proposed changes regarding the healthcare system that could, among other things, prevent or delay marketing approval of our product candidates, restrict or regulate post-approval activities and affect the ability to profitably sell AZSTARYS under the KP415 License Agreement or APADAZ under the APADAZ License Agreement and our ability to profitably sell any of our other product candidates for which we obtain marketing approval.</w:t>
      </w:r>
    </w:p>
    <w:p>
      <w:pPr>
        <w:spacing w:after="0" w:line="18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Among policy makers and payors in the United States and elsewhere, there is significant interest in promoting changes in healthcare systems with the stated goals of containing healthcare costs, improving quality and/or expanding access. In the United States, the pharmaceutical industry has been a particular focus of these efforts and has been significantly affected by major legislative initiatives. For example, in March 2010, President Obama signed into law the ACA,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Among the provisions of the ACA of importance to our potential product candidates are the following:</w:t>
      </w:r>
    </w:p>
    <w:p>
      <w:pPr>
        <w:spacing w:after="0" w:line="223" w:lineRule="exact"/>
        <w:rPr>
          <w:sz w:val="20"/>
          <w:szCs w:val="20"/>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certain branded prescription drugs and biologic agents, apportioned among these entities according to their market share in certain government healthcare programs;</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an increase in the statutory minimum rebates a manufacturer must pay under the Medicaid Drug Rebate Program to 23.1% and 13.0% of the average manufacturer price for branded drugs and generic drugs, respectively;</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federal Anti-Kickback Statute, new government investigative powers and enhanced penalties for non-compliance;</w:t>
      </w:r>
    </w:p>
    <w:p>
      <w:pPr>
        <w:spacing w:after="0" w:line="170"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establishment of a new and distinct methodology by which rebates owed by manufacturers under the Medicaid Drug Rebate Program are calculated for drugs that are inhaled, infused, instilled, implanted or injected;</w:t>
      </w:r>
    </w:p>
    <w:p>
      <w:pPr>
        <w:spacing w:after="0" w:line="170" w:lineRule="exact"/>
        <w:rPr>
          <w:rFonts w:ascii="Arial" w:cs="Arial" w:eastAsia="Arial" w:hAnsi="Arial"/>
          <w:sz w:val="18"/>
          <w:szCs w:val="18"/>
          <w:color w:val="auto"/>
        </w:rPr>
      </w:pPr>
    </w:p>
    <w:p>
      <w:pPr>
        <w:jc w:val="both"/>
        <w:ind w:left="460" w:hanging="224"/>
        <w:spacing w:after="0" w:line="284" w:lineRule="auto"/>
        <w:tabs>
          <w:tab w:leader="none" w:pos="460" w:val="left"/>
        </w:tabs>
        <w:numPr>
          <w:ilvl w:val="0"/>
          <w:numId w:val="53"/>
        </w:numPr>
        <w:rPr>
          <w:rFonts w:ascii="Arial" w:cs="Arial" w:eastAsia="Arial" w:hAnsi="Arial"/>
          <w:sz w:val="17"/>
          <w:szCs w:val="17"/>
          <w:color w:val="auto"/>
        </w:rPr>
      </w:pPr>
      <w:r>
        <w:rPr>
          <w:rFonts w:ascii="Arial" w:cs="Arial" w:eastAsia="Arial" w:hAnsi="Arial"/>
          <w:sz w:val="17"/>
          <w:szCs w:val="17"/>
          <w:color w:val="auto"/>
        </w:rPr>
        <w:t>a new Medicare Part D coverage gap discount program, in which manufacturers must agree to offer 70% point-of-sale discounts off negotiated prices (generally as negotiated between the Medicare Part D plan and the pharmacy) of applicable brand drugs to eligible beneficiaries during their coverage gap period, as a condition for the manufacturer’s outpatient drugs to be covered under Medicare Part D;</w:t>
      </w:r>
    </w:p>
    <w:p>
      <w:pPr>
        <w:spacing w:after="0" w:line="166" w:lineRule="exact"/>
        <w:rPr>
          <w:rFonts w:ascii="Arial" w:cs="Arial" w:eastAsia="Arial" w:hAnsi="Arial"/>
          <w:sz w:val="17"/>
          <w:szCs w:val="17"/>
          <w:color w:val="auto"/>
        </w:rPr>
      </w:pPr>
    </w:p>
    <w:p>
      <w:pPr>
        <w:jc w:val="both"/>
        <w:ind w:left="460" w:hanging="224"/>
        <w:spacing w:after="0" w:line="26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 to covered drugs dispensed to individuals who are enrolled in Medicaid managed care organizations and extension of the inflation percentage applicable to existing branded drugs to new formulations for purposes of computing the inflation penalty component of Medicaid rebates;</w:t>
      </w:r>
    </w:p>
    <w:p>
      <w:pPr>
        <w:spacing w:after="0" w:line="182" w:lineRule="exact"/>
        <w:rPr>
          <w:rFonts w:ascii="Arial" w:cs="Arial" w:eastAsia="Arial" w:hAnsi="Arial"/>
          <w:sz w:val="18"/>
          <w:szCs w:val="18"/>
          <w:color w:val="auto"/>
        </w:rPr>
      </w:pPr>
    </w:p>
    <w:p>
      <w:pPr>
        <w:jc w:val="both"/>
        <w:ind w:left="460" w:hanging="224"/>
        <w:spacing w:after="0" w:line="262"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 by, among other things, allowing states to offer Medicaid coverage to additional individuals and by adding new mandatory eligibility categories for certain individuals with income at or below 133% of the Federal Poverty Level, thereby potentially increasing manufacturers’ Medicaid rebate liability;</w:t>
      </w:r>
    </w:p>
    <w:p>
      <w:pPr>
        <w:spacing w:after="0" w:line="18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new requirements under the federal Open Payments program and its implementing regulations;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 and</w:t>
      </w:r>
    </w:p>
    <w:p>
      <w:pPr>
        <w:spacing w:after="0" w:line="222" w:lineRule="exact"/>
        <w:rPr>
          <w:rFonts w:ascii="Arial" w:cs="Arial" w:eastAsia="Arial" w:hAnsi="Arial"/>
          <w:sz w:val="18"/>
          <w:szCs w:val="18"/>
          <w:color w:val="auto"/>
        </w:rPr>
      </w:pPr>
    </w:p>
    <w:p>
      <w:pPr>
        <w:ind w:left="460" w:hanging="224"/>
        <w:spacing w:after="0" w:line="275" w:lineRule="auto"/>
        <w:tabs>
          <w:tab w:leader="none" w:pos="4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There have been executive, judicial and congressional challenges to certain aspects of the ACA. While Congress has not passed comprehensive repeal legislation, several bills affecting the implementation of certain taxes under the ACA have been signed into law. For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June 17, 2021 the U.S. Supreme Court dismissed a challenge on procedural grounds that argued the ACA is unconstitutional in its entirety because the “individual mandate” was repealed by Congress. Thus, the ACA will remain in effect in its current form. Further, prior to the U.S. Supreme Court ruling, on January 28, 2021, President Biden issued an executive order that initiated a special enrollment period from February 15, 2021 through May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 requirements, and policies that create unnecessary barriers to obtaining access to health insurance coverage through Medicaid or the ACA. It is possible that the ACA will be subject to judicial or Congressional challenges in the future. It is unclear how any such challenges and the healthcare reform measures of the Biden administration will impact the ACA and our business.</w:t>
      </w:r>
    </w:p>
    <w:p>
      <w:pPr>
        <w:spacing w:after="0" w:line="18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other legislative changes have been proposed and adopted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to Medicare payments to providers of up to 2% per fiscal year, which went into effect in April 2013, and, due to subsequent legislative amendments, including the BBA, will stay in effect through 2030 with the exception of a temporary suspension from May 1, 2020 through December 31, 2021 unless additional Congressional action is taken. In January 2013, President Obama signed into law the American Taxpayer Relief Act of 2012, which, among other things, further reduced Medicare payments to several providers, and increased the statute of limitations period for the government to recover overpayments to providers from three to five years.</w:t>
      </w:r>
    </w:p>
    <w:p>
      <w:pPr>
        <w:spacing w:after="0" w:line="169"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Further, there has been increasing legislative and enforcement interest in the United States with respect to specialty drug pricing practices. Specifically, there have been several recent U.S. Congressional inquiries and proposed and enacted federal and state legislation designed to, among other things, bring more transparency to drug pricing, review the relationship between pricing and manufacturer patient programs, reduce the cost of drugs under Medicare, and reform government program reimbursement methodologies for drugs. At the federal level, the Trump administration used several means to propose or implement drug pricing reform, including through federal budget proposals, executive orders and policy initiatives. For example, on July 24, 2020 and September 13, 2020, the Trump administration announced several executive orders related to prescription drug pricing that seek to implement several of the administration’s proposals. As a result, the FDA released a final rule on September 24, 2020, effective November 30, 2020, providing guidance for states to build and submit importation plans for drugs from Canada. Further, on November 20, 2020, HHS finalized a regulation removing safe harbor protection for price reductions from pharmaceutical manufacturers to plan sponsors under Medicare Part D, either directly or through pharmacy benefit managers, unless the price reduction is required by law. The implementation of the rule has been delayed by the Biden administration from January 1, 2022 to January 1, 2023 in response to ongoing litigation. The rule also creates a new safe harbor for price reductions reflected at the point-of-sale, as well as a new safe harbor for certain fixed fee arrangements between pharmacy benefit managers and manufacturers, the implementation of which have also been delayed until January 1, 2023. On November 20, 2020, CMS issued an interim final rule implementing the Trump administration’s Most Favored Nation executive order, which would tie Medicare Part B payments for certain physician-administered drugs to the lowest price paid in other economically advanced countries, effective January 1, 2021. On December 28, 2020, the U.S. District Court for the Northern District of California issued a nationwide preliminary injunction against implementation of the interim final rule. On January 13, 2021, in a separate lawsuit brought by industry groups in the U.S. District Court of Maryland, the government defendants entered a joint motion to stay litigation on the condition that the government would not appeal the preliminary injunction granted in the U.S. District Court for the Northern District of California and that performance for any final regulation stemming from the Most Favored Nation Model interim final rule shall not commence earlier than sixty (60) days after publication of that regulation in the Federal Register. Additionally, based on a recent executive order, the Biden administration expressed its intent to pursue certain policy initiatives to reduce drug prices. At the state level, legislatures are increasingly passing legislation and implementing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These new laws may result in additional reductions in Medicare and other healthcare funding, which could negatively impact customers for our product candidates, if approved, and, accordingly, our financial operations. It is also possible that additional governmental action is taken in response to the COVID-19 pandemic.</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expect that the healthcare reform measures that have been adopted and may be adopted in the future, may, among other things,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prodrug product candidates.</w:t>
      </w:r>
    </w:p>
    <w:p>
      <w:pPr>
        <w:spacing w:after="0" w:line="19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Legislative and regulatory proposals and enacted statutes have been made to expand post-approval requirements and restrict sales and promotional activities for drugs. For instance, the Drug Supply Chain Security Act imposes obligations on manufacturers of pharmaceutical products, among others, related to product tracking and tracing. Among the requirements of this new legislation, manufacturers are required to provide specified information regarding the drug products they produce to individuals and entities to which product ownership is transferred, label drug products with a product identifier and keep specified records regarding the drug products. The transfer of information to subsequent product owners by manufacturers will eventually be required to be done electronically. Manufacturers are also required to verify that purchasers of products are appropriately licensed. Further, under this legislation, manufacturers have drug product investigation, quarantine, disposition and FDA and trading-partner notification responsibilities related to counterfeit, diverted, stolen and intentionally adulterated products, as well as products that are the subject of fraudulent transactions or which are otherwise unfit for distribution such that they would be reasonably likely to result in serious health consequences or death.</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affect our revenue, if any.</w:t>
      </w:r>
    </w:p>
    <w:p>
      <w:pPr>
        <w:spacing w:after="0" w:line="223"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In some countries, particularly the countries of the European Union,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cost-effectiveness of our product candidate to other available therapies. If reimbursement of our prodrug products is unavailable or limited in scope or amount, or if pricing is set at unsatisfactory levels, our business could be harmed, possibly materially.</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17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162"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14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325" w:lineRule="auto"/>
        <w:rPr>
          <w:sz w:val="20"/>
          <w:szCs w:val="20"/>
          <w:color w:val="auto"/>
        </w:rPr>
      </w:pPr>
      <w:r>
        <w:rPr>
          <w:rFonts w:ascii="Arial" w:cs="Arial" w:eastAsia="Arial" w:hAnsi="Arial"/>
          <w:sz w:val="15"/>
          <w:szCs w:val="15"/>
          <w:b w:val="1"/>
          <w:bCs w:val="1"/>
          <w:i w:val="1"/>
          <w:iCs w:val="1"/>
          <w:color w:val="auto"/>
        </w:rPr>
        <w:t>If our security measures are compromised now, or in the future, or the security, confidentiality, integrity or availability of, our information technology, software, services, communications or data is compromised, limited or fails, this could result in a material adverse impact, including without limitation, a material interruption to our operations, harm to our reputation, significant fines, penalties and liability, breach or a triggering of data protection laws, privacy policies and data protection obligations, loss of customers or sales, or material disruption of our clinical trials or other business activity.</w:t>
      </w:r>
    </w:p>
    <w:p>
      <w:pPr>
        <w:spacing w:after="0" w:line="14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In the ordinary course of our business, we may collect, process and store proprietary, confidential and sensitive information, including personal information (including key-coded data and health information), intellectual property, trade secrets and proprietary business information owned or controlled by ourselves or other parties.</w:t>
      </w:r>
    </w:p>
    <w:p>
      <w:pPr>
        <w:spacing w:after="0" w:line="182"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Despite the implementation of security measures, our information technology systems and data, and those of our CROs and other third parties on which we rely, are vulnerable to system failure, interruption, compromise or damage from several sources, such as data corruption; breakdown; malicious human acts; malicious code (such as computer viruses or worms); fraudulent activity; employee misconduct, theft or error; denial-of-service attacks; public health epidemics (such as the COVID-19 pandemic); cyber-attacks by sophisticated nation-state and nation-state supported actors; natural disasters; terrorism; war; and telecommunication and electrical failures. Moreover, our recovery systems (and those of third parties upon whom we rely) are similarly vulnerable. Any of these events could lead to the unauthorized access, disclosure and use of proprietary, confidential, or otherwise non-public information (such as personal information). The techniques used by criminal actors to attack computer systems are sophisticated, change frequently and may originate from less regulated and remote areas of the world. As a result, we may not be able to address these techniques proactively or implement adequate preventative measures. We may be required to expend significant resources, fundamentally change our business activities and practices, or modify our operations, including our clinical trial activities, or information technology in an effort to protect against security breaches and to mitigate, detect and remediate actual and potential vulnerabilities. Due to the nature of some of these threats, we may be unable to anticipate threats, and there is a risk that a threat may remain undetected for a period of time. The costs of maintaining or upgrading our cyber-security systems at the level commercially reasonable to keep up with our expanding operations and prevent against potential attacks are increasing, and despite our best efforts, our network security and data recovery measures and those of our vendors may still not be adequate to protect against such security breaches and disruptions, which could cause harm to our business, financial condition and results of operations.</w:t>
      </w:r>
    </w:p>
    <w:p>
      <w:pPr>
        <w:spacing w:after="0" w:line="17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If we, our service providers, partners, or other relevant third parties have experienced, or in the future experience, any security incident(s) that result in any data loss, deletion or destruction, unauthorized access to, loss of, acquisition or disclosure of, exposure or disclosure of sensitive information, or compromise related to the security, confidentiality, integrity or availability of our (or their) information technology, software, services, communications or data, it may result in a material adverse impact, including without limitation, fines, damages, litigation, enforcement actions, loss of trade secrets, a material disruption of our drug development programs, or other harm to our business. For example, the loss of clinical trial data from completed or ongoing or planned clinical trials could result in delays in our regulatory approval efforts and significantly increase our costs to recover or reproduce the data. To the extent that any disruption or security breach was to result in a loss of or damage to our data or applications, or inappropriate disclosure of confidential or proprietary information, we could incur liability and the further development of our product candidates could be delayed. Additionally, applicable data protection laws, privacy policies and data protection obligations (such as contractual obligations) may require us to notify relevant stakeholders of security breaches, including affected individuals, customers and regulators. Such disclosures are costly, and the disclosure or the failure to comply with such requirements, could lead to material adverse impacts, including without limitation, negative publicity, a loss of confidence in our products or operations or breach of contract claims.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Further, failures or significant downtime of our information technology or telecommunication systems or those used by our third-party service providers could cause significant interruptions in our operations and adversely impact the confidentiality, integrity and availability of sensitive or confidential information, including preventing us from conducting clinical trials, tests or research and development activities and preventing us from managing the administrative aspects of our business.</w:t>
      </w:r>
    </w:p>
    <w:p>
      <w:pPr>
        <w:spacing w:after="0" w:line="18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cannot be sure that our insurance coverage will be adequate or otherwise protect us from or adequately mitigate liabilities or damages with respect to claims, costs, expenses, litigation, fines, penalties, business loss, data loss, regulatory actions or materially adverse impacts arising out of our privacy and cybersecurity practices, processing or security breaches that we may experience, or that such coverage will continue to be available on acceptable terms at all. The successful assertion of one or more large claims against us that exceeds our available insurance coverage, or results in changes to our insurance policies (including premium increases or the imposition of a large deductible or co-insurance requirements), could have an adverse effect on our business. In addition, we cannot be sure that our existing coverage and coverage for errors and omissions will continue to be available on acceptable terms or that our insurers will not deny coverage as to any future claim.</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Failure or perceived failure to comply with existing or future laws, regulations, contracts, self-regulatory schemes, policies, standards and other obligations related to data privacy or security could lead to government enforcement actions (which could include civil or criminal fines or penalties), a disruption of our clinical trials or commercialization of our products, private litigation, other liabilities, and/or adverse publicity. Compliance or the failure to comply with such obligations could increase the costs of our products, could limit their use or adoption, and could otherwise negatively affect our operating results and business.</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Regulation of data (including personal data) is evolving, as federal, state, and foreign governments continue to adopt new, or modify existing, laws and regulations addressing data privacy and security, and the collection, processing, storage, transfer, and use of data. We and our collaborators may be subject to current, new, or modified federal, state, and foreign data protection laws and regulations (e.g., laws and regulations that address data privacy and security, including, without limitation, personal data such as health data). These new or proposed laws and regulations are subject to differing interpretations and may be inconsistent among jurisdictions, and guidance on implementation and compliance practices are often updated or otherwise revised, which adds to the complexity of processing personal data. Moreover, we are subject to the terms of our privacy and security policies, representations, certifications, standards, publications, contracts and other obligations to third parties related to data privacy, security and processing. These and other requirements could require us or our collaborators to incur additional costs to achieve compliance, limit our competitiveness, necessitate the acceptance of more onerous obligations in our contracts, restrict our ability to use, store, transfer, and process data, impact our or our collaborators’ ability to process or use data in order to support the provision of our products, affect our or our partners’ ability to offer our products or operate in certain locations, cause regulators to reject, limit, or disrupt our clinical trial activities, result in increased expenses, reduce overall demand for our products and services and make it more difficult to meet expectations of or commitments to customers or collaborators.</w:t>
      </w:r>
    </w:p>
    <w:p>
      <w:pPr>
        <w:spacing w:after="0" w:line="18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United States, numerous federal and state laws and regulations, including state data breach notification laws, state information privacy laws (e.g., the California Consumer Privacy Act of 2018, or CCPA), state health information privacy laws, and federal and state consumer protection laws and regulations (e.g., Section 5 of the Federal Trade Commission Act), govern the collection, use, disclosure, and protection of health-related and other personal data. These laws and regulations could apply to our operations, the operations of our collaborators or other relevant stakeholders upon whom we depend. In addition, we may obtain health information from third parties (including research institutions from which we may obtain clinical trial data) that are subject to privacy and security requirements under HIPAA. Depending on the facts and circumstances, we could be subject to civil and criminal penalties, including if we knowingly obtain, use, or disclose individually identifiable health information maintained by a HIPAA-covered entity in a manner that is not authorized or permitted by HIPAA.</w:t>
      </w:r>
    </w:p>
    <w:p>
      <w:pPr>
        <w:spacing w:after="0" w:line="18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CCPA became effective on January 1, 2020. The CCPA gives California residents expanded rights to access and delete their personal information, opt out of certain personal information sharing and receive detailed information about how their personal information is used. The CCPA requires covered entities to provide new disclosures to California residents. The CCPA provides for civil penalties for violations, as well as a private right of action and statutory damages for data breaches that is expected to increase class action data breach litigation. Although there are limited exemptions for clinical trial data, the CCPA’s implementation standards and enforcement practices are likely to remain uncertain for the foreseeable future. The CCPA may increase our compliance costs and potential liability. It is anticipated that the CCPA will be expanded on January 1, 2023, when the California Privacy Rights Act of 2020, or the CPRA, becomes operative. The CPRA will, among other things, give California residents the ability to limit use of certain sensitive information, establish restrictions on the retention of personal information, expand the types of data breaches subject to the CCPA’s private right of action and establish a new California Privacy Protection Agency to implement and enforce the new law. These laws demonstrate our vulnerability to the evolving regulatory environment related to personal data. As we expand our operations, these and similar laws may increase our compliance costs and potential liability.</w:t>
      </w:r>
    </w:p>
    <w:p>
      <w:pPr>
        <w:spacing w:after="0" w:line="17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Foreign data protection laws, such as, without limitation, the EU’s GDPR and member state data protection laws, may also apply to health-related and other personal information that we process, including, without limitation, personal data relating to clinical trial participants. European data protection laws impose strict obligations on the ability to process health-related and other personal information of data subjects in Europe, including, among other things, standards relating to the privacy and security of personal data, which require the adoption of administrative, physical and technical safeguards designed to protect such information. The United Kingdom’s vote in favor of exiting the EU, often referred to as Brexit, has created uncertainty with regard to data protection regulation in the United Kingdom. Beginning in 2021, the UK will be a “third country” under the GDPR and transfers of European personal information to the U.K. will require an adequacy mechanism to render such transfers compliant under the GDPR. European data protection laws may affect our use, collection, analysis, and transfer (including cross-border transfer) of such personal information. These laws include several requirements relating to transparency related to communications with data subjects regarding the processing of their personal data, obtaining the consent of the individuals to whom the personal data relates, limitations on data processing, establishing a legal basis for processing, notification of data processing obligations or security incidents to appropriate data protection authorities or data subjects, the security and confidentiality of the personal data and various rights that data subjects may exercise.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European data protection laws prohibit the transfer, without an appropriate legal basis, of personal data to countries outside of Europe, such as to the United States, which are not considered by the relevant authorities to provide an adequate level of data protection. A decision by the Court of Justice of the European Union, or the Schrems II ruling, invalidated the EU-U.S. Privacy Shield Framework, and raised questions about whether the European Commission’s Standard Contractual Clauses, or SCCs, one of the primary alternatives to the Privacy Shield, can lawfully be used for personal information transfers from Europe to the United States or most other countries. Similarly, the Swiss Federal Data Protection and Information Commissioner recently opined that the Swiss-U.S. Privacy Shield is inadequate for transfers of personal data from Switzerland to the U.S. The United Kingdom, whose data protection laws are similar to those of the European Union, may similarly determine that the EU-U.S. Privacy Shield is not a valid mechanism for lawfully transferring personal data from the United Kingdom to the United States. The European Commission recently proposed updates to the SCCs, and additional regulatory guidance has been released that seeks to impose additional obligations on entities that rely on the SCCs. Given that, at present, there are few, if any, alternatives to the EU-U.S. Privacy Shield and the SCCs, any transfers by us or our vendors of personal data from Europe may not comply with European data protection laws, which may increase our exposure to such laws’ sanctions for violations of its cross-border transfer restrictions and may prohibit our transfer of European personal data outside of Europe, and may adversely impact our operations, product development and ability to provide our products. Additionally, other countries have passed or are considering passing laws requiring local data residency and/or restricting the international transfer of data.</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For example, under the GDPR, regulators may impose substantial fines and penalties for non-compliance. Entities that violate the GDPR can face fines of up to the greater of 20 million Euros or 4% of their worldwide annual turnover (revenue). Additionally, regulators could prohibit our use of personal data subject to the GDPR. The GDPR has increased our responsibility and liability in relation to personal data that we process, requiring us to put in place additional mechanisms to comply with the GDPR and other foreign data protection requirements.</w:t>
      </w:r>
    </w:p>
    <w:p>
      <w:pPr>
        <w:spacing w:after="0" w:line="18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Failure, or perceived failure, to comply with federal, state and foreign data protection laws and regulations, privacy policies, contracts and other data protection obligations could result in government investigations and enforcement actions (which could include civil or criminal penalties, fines, or sanctions), private litigation, a diversion of management’s attention, adverse publicity and other negative effects on our operating results and business. There can be no assurance that the limitations of liability in our contracts would be enforceable or adequate or would otherwise protect us from liabilities or damages if we fail to comply with applicable data protection laws, privacy policies or data protection obligations related to information security or security breaches. Moreover, clinical trial participants or subjects about whom we or our collaborators obtain information, as well as the providers who share this information with us, may contractually limit our ability to use and disclose the information. Claims that we have violated individuals’ privacy rights or failed to comply with data protection laws, contracts, privacy notices or other obligations even if we are not found liable, could be expensive and time-consuming to defend and could result in adverse publicity that could harm our business.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Any of these matters could materially adversely affect our business, financial condition, or operational results.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Our Growth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future success depends on our ability to retain key executives and to attract, retain and motivate qualified personnel.</w:t>
      </w:r>
    </w:p>
    <w:p>
      <w:pPr>
        <w:spacing w:after="0" w:line="2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highly dependent on the management, research and development, clinical, financial and business development expertise of Travis C. Mickle, Ph.D., our president and chief executive officer, R. LaDuane Clifton, CPA, our chief financial officer, and Sven Guenther, Ph.D., our executive vice president research and development, as well as the other members of our scientific and clinical teams. Although we have employment agreements with each of our executive officers, these agreements do not obligate them to continue working for our company and they may terminate their employment with us at any time.</w:t>
      </w:r>
    </w:p>
    <w:p>
      <w:pPr>
        <w:spacing w:after="0" w:line="190"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Recruiting and retaining qualified scientific and clinical personnel and, if we progress the development of our product candidate pipeline toward scaling up for commercialization, manufacturing and sales and marketing personnel, will also be critical to our success. The loss of the services of our executive officers or other key employees could impede the achievement of our research, development and commercialization objectives and seriously harm our ability to successfully implement our business strategy.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our prodrug product candidates.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 and Our Status as a Public Company</w:t>
      </w:r>
    </w:p>
    <w:p>
      <w:pPr>
        <w:spacing w:after="0" w:line="2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trading price of the shares of our common stock is likely to be volatile, and purchasers of our common stock could incur substantial losses.</w:t>
      </w:r>
    </w:p>
    <w:p>
      <w:pPr>
        <w:spacing w:after="0" w:line="246" w:lineRule="exact"/>
        <w:rPr>
          <w:sz w:val="20"/>
          <w:szCs w:val="20"/>
          <w:color w:val="auto"/>
        </w:rPr>
      </w:pPr>
    </w:p>
    <w:p>
      <w:pPr>
        <w:jc w:val="both"/>
        <w:spacing w:after="0" w:line="295" w:lineRule="auto"/>
        <w:rPr>
          <w:sz w:val="20"/>
          <w:szCs w:val="20"/>
          <w:color w:val="auto"/>
        </w:rPr>
      </w:pPr>
      <w:r>
        <w:rPr>
          <w:rFonts w:ascii="Arial" w:cs="Arial" w:eastAsia="Arial" w:hAnsi="Arial"/>
          <w:sz w:val="16"/>
          <w:szCs w:val="16"/>
          <w:color w:val="auto"/>
        </w:rPr>
        <w:t>Our stock price has been, and is likely to continue to be, volatile. Since shares of our common stock were sold in our initial public offering in April 2015 at a price of $176.00 per share (adjusted to give effect to the 1-for-16 reverse stock split), our stock price has ranged from a low of $1.94 to a high of $418.40 through August 12, 2021. In addition, the stock market in general and the market for pharmaceutical companies in particular have experienced extreme volatility that has often been unrelated to the operating performance of particular companies. As a result of this volatility, investors may not be able to sell their common stock at or above the price paid for the shares. The market price for our common stock may be influenced by many factors, including:</w:t>
      </w:r>
    </w:p>
    <w:p>
      <w:pPr>
        <w:spacing w:after="0" w:line="159" w:lineRule="exact"/>
        <w:rPr>
          <w:sz w:val="20"/>
          <w:szCs w:val="20"/>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actual or anticipated variations in our operating results;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changes in financial estimates by us or by any securities analysts who might cover our stock;</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conditions or trends in our industry, including without limitation changes in the structure of healthcare payment systems;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stock market price and volume fluctuations of comparable companies and, in particular, those that operate in the pharmaceutical industry;</w:t>
      </w:r>
    </w:p>
    <w:p>
      <w:pPr>
        <w:spacing w:after="0" w:line="234" w:lineRule="exact"/>
        <w:rPr>
          <w:rFonts w:ascii="Arial" w:cs="Arial" w:eastAsia="Arial" w:hAnsi="Arial"/>
          <w:sz w:val="17"/>
          <w:szCs w:val="17"/>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acquisitions, strategic partnerships or divestitures;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adverse regulatory announcements or determinations regarding our product candidates;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investors’ general perception of us and our business;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recruitment or departure of key personnel;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specific stockholders.</w:t>
      </w:r>
    </w:p>
    <w:p>
      <w:pPr>
        <w:spacing w:after="0" w:line="2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Many of the factors described above are not within our control. For instance, in May 2016, we announced that the Anesthetic and Analgesic Drug Products Advisory Committee and the Drug Safety and Risk Management Advisory Committee of the FDA voted 16 to 4 for the approval of APADAZ but voted 18 to 2 against inclusion of abuse-deterrent labeling for APADAZ. The announcement was followed by a substantial decrease in the trading price of our common stock on Nasdaq. Additionally, when we announced in June 2016 that the FDA had issued a CRL for the APADAZ NDA, the trading price of our common stock on Nasdaq was subject to another substantial decrease. We cannot guarantee that future announcements will not have similar effects on the trading price of our common stock.</w:t>
      </w:r>
    </w:p>
    <w:p>
      <w:pPr>
        <w:spacing w:after="0" w:line="19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In addition, in the past, stockholders have initiated class action lawsuits against pharmaceutical and biotechnology companies following periods of volatility in the market prices of these companies’ stock. For instance, in December 2016, we received notice of a class action suit filed against us in the Iowa District Court in Johnson County by a stockholder alleging that we, certain of our senior executives and directors who signed the registration statement in connection with our initial public offering, and each of the investment banks that acted as underwriters for the offering negligently issued untrue statements of material facts and omitted to state material facts required to be stated in the registration statement and incorporated offering materials that we filed with the SEC in support of the offering. In June 2018, the case was dismissed without prejudice to members of the putative class. Future litigation could cause us to incur substantial costs and divert management’s attention and resources from our business. Further, companies listed on The Nasdaq Capital Market, and biotechnology and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 portion of our outstanding warrants are entitled to certain anti-dilution protections which, if triggered, may cause dilution to your investment.</w:t>
      </w:r>
    </w:p>
    <w:p>
      <w:pPr>
        <w:spacing w:after="0" w:line="246"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Deerfield Warrant includes an exercise price protection provision, pursuant to which the exercise price of the Deerfield Warrant will be adjusted downward on a broad-based weighted-average basis if we issue or sell any shares of common stock, convertible securities, warrants or options at a sale or exercise price per share less than the greater of (i) $38.34 per share, which represents the Deerfield Warrant’s exercise price, or (ii) the closing sale price of our common stock on the last trading date immediately prior to such issuance or, in the case of a firm commitment underwritten offering, on the date of execution of the underwriting agreement between us and the underwriters for such offering. Additionally, if we effect an “at the market offering”, as defined in Rule 415 of the Securities Act, of our common stock, the exercise price of the Deerfield Warrant will be adjusted downward pursuant to this anti-dilution adjustment only if such sales are made at a price less than $38.34 per share, provided that this anti-dilution adjustment will not apply to certain specified sales. For example, in June 2021, we entered into the June 2021 Inducement Letters with certain holders of the January 2021 Inducement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 The completion of this transaction resulted in the exercise price of the Deerfield Warrant being adjusted downward to $38.34 per share from its pre-transaction exercise price of $46.25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Future sales and issuances of equity and debt could result in additional dilution to our stockholders.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may need additional capital in the future to fund our planned future operations, including to complete potential clinical trials for our product candidates. To raise capital, we may sell common stock, convertible securities or other equity securities in one or more transactions at prices and in a manner we determine from time to time.</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For instance in January 2021, we issued and sold 6,765,463 shares of our common stock, pre-funded warrants to purchase 926,844 shares of our common stock and warrants to purchase 7,692,307 shares of our common stock at an exercise price per share of $6.50 in the Public Offering. Also in January 2021, the underwriter exercised its over-allotment option, in part, for warrants to purchase 754,035 shares of our common stock. Further, in February 2021, the underwriter again exercised its over-allotment option, in part, to purchase 374,035 shares of our common stock.</w:t>
      </w:r>
    </w:p>
    <w:p>
      <w:pPr>
        <w:spacing w:after="0" w:line="17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Also in January 2021, we entered into the January 2021 Inducement Letters with certain holders of the Existing Warrants, pursuant to which such holders exercised for cash their Existing Warrants to purchase 6,620,358 shares of our common stock in exchange for the January 2021 Inducement Warrants on substantially the same terms as the Existing Warrants, except as set forth in the following sentence, to purchase up to 7,944,430 shares of our common stock, which was equal to 120% of the number of shares of our common stock issued upon exercise of the Existing Warrants. The purchase price of the January 2021 Inducement Warrants was $0.125 per share underlying each January 2021 Inducement Warrant, and the January 2021 Inducement Warrants had an exercise price of $6.36 per share.</w:t>
      </w:r>
    </w:p>
    <w:p>
      <w:pPr>
        <w:spacing w:after="0" w:line="19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addition, in June 2021, we entered into the June 2021 Inducement Letters with certain holders of the January 2021 Warrants, pursuant to which such holders exercised for cash their January 2021 Inducement Warrants to purchase 6,117,509 shares of our common stock in exchange for the June 2021 Inducement Warrants on substantially the same terms as the January 2021 Inducement Warrants, except as set forth in the following sentence, to purchase up to 1,529,379 shares of our common stock, which was equal to 25% of the number of shares of our common stock issued upon exercise of the January 2021 Inducement Warrants. The purchase price of the June 2021 Inducement Warrants was $0.125 per share underlying each June 2021 Inducement Warrant, and the June 2021 Inducement Warrants have an exercise price of $16.50 per share.</w:t>
      </w:r>
    </w:p>
    <w:p>
      <w:pPr>
        <w:spacing w:after="0" w:line="176"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If the holders of any of these warrants elect to exercise such warrants and receive shares of common stock, your ownership interest will be diluted and the market price of our common stock may be materially and adversely effected.</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2021, at the annual meeting of stockholders, the stockholders approved the Amended and Restated 2014 Equity Incentive Plan, which, among other things, added 4.9 million shares to the equity plan pool, and the 2021 ESPP, which allows for employees to purchase up to 1.5 million shares of stock through the plan. In addition, in July 2021, the Company entered into the Equity Distribution Agreement with JMP and RBCCM, under which the Company may offer and sell, from time to time at its sole discretion, shares of its common stock having an aggregate offering price of up to $75,000,000 through JMP and RBCCM as its sales agents.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our equity incentive plan, we may grant equity awards and issue additional shares of our common stock to our employees, directors and consultants, and the number of shares of our common stock reserved for future issuance under this plan will be subject to automatic annual increases in accordance with the terms of the plans. To the extent that new options are granted and exercised, or we issue additional shares of common stock in the future, either through the 2021 ESPP, Equity Distribution Agreement or through other means, our stockholders may experience additional dilution, which could cause our stock price to fall.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accounting method for the Deerfield Warrant and certain other warrants issued could have a material effect on our reported financial results.</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Deerfield Warrant and certain other warrants we issued contain embedded derivatives, which require mark-to-market accounting treatment and could result in a gain or loss on a quarterly basis with regards to the mark-to-market value of that feature. Such accounting treatment could have a material impact on, and could potentially result in significant volatility in, our quarterly results of operations.</w:t>
      </w:r>
    </w:p>
    <w:p>
      <w:pPr>
        <w:spacing w:after="0" w:line="182"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could cause the market price of our common stock to drop significantly, even if our business is doing well.</w:t>
      </w:r>
    </w:p>
    <w:p>
      <w:pPr>
        <w:spacing w:after="0" w:line="17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Sales of a substantial number of shares of our common stock in the public market could occur at any time. If our stockholders sell, or the market perceives that our stockholders intend to sell, substantial amounts of our common stock in the public market, the market price of our common stock could decline significantly.</w:t>
      </w:r>
    </w:p>
    <w:p>
      <w:pPr>
        <w:spacing w:after="0" w:line="1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Anti-takeover provisions in our certificate of incorporation and bylaws, as well as provisions of Delaware law and the terms of some or our contracts, might discourage, delay or prevent a change in control of our company or changes in our board of directors or management and, therefore, depress the price of our common stock.</w:t>
      </w:r>
    </w:p>
    <w:p>
      <w:pPr>
        <w:spacing w:after="0" w:line="182" w:lineRule="exact"/>
        <w:rPr>
          <w:sz w:val="20"/>
          <w:szCs w:val="20"/>
          <w:color w:val="auto"/>
        </w:rPr>
      </w:pPr>
    </w:p>
    <w:p>
      <w:pPr>
        <w:jc w:val="both"/>
        <w:spacing w:after="0" w:line="274" w:lineRule="auto"/>
        <w:rPr>
          <w:sz w:val="20"/>
          <w:szCs w:val="20"/>
          <w:color w:val="auto"/>
        </w:rPr>
      </w:pPr>
      <w:r>
        <w:rPr>
          <w:rFonts w:ascii="Arial" w:cs="Arial" w:eastAsia="Arial" w:hAnsi="Arial"/>
          <w:sz w:val="17"/>
          <w:szCs w:val="17"/>
          <w:color w:val="auto"/>
        </w:rPr>
        <w:t>Our certificate of incorporation and bylaws and Delaware law contain provisions that may discourage, delay or prevent a merger, acquisition or other change in control that stockholders may consider favorable, including transactions in which you might otherwise receive a premium for your shares of our common stock or transactions that our stockholders might otherwise deem to be in their best interests. These provisions may also prevent or frustrate attempts by our stockholders to replace or remove members of our board of directors or our management. Therefore, these provisions could adversely affect the price of our stock. Our corporate governance documents include provisions:</w:t>
      </w:r>
    </w:p>
    <w:p>
      <w:pPr>
        <w:spacing w:after="0" w:line="174" w:lineRule="exact"/>
        <w:rPr>
          <w:sz w:val="20"/>
          <w:szCs w:val="20"/>
          <w:color w:val="auto"/>
        </w:rPr>
      </w:pPr>
    </w:p>
    <w:p>
      <w:pPr>
        <w:ind w:left="460" w:hanging="224"/>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establishing a classified board of directors with staggered three-year terms so that not all members of our board of directors are elected at one time;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that directors may be removed by stockholders only for cause;</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preventing the ability of our stockholders to call and bring business before special meetings and to take action by written consent in lieu of a meeting;</w:t>
      </w:r>
    </w:p>
    <w:p>
      <w:pPr>
        <w:spacing w:after="0" w:line="245" w:lineRule="exact"/>
        <w:rPr>
          <w:rFonts w:ascii="Arial" w:cs="Arial" w:eastAsia="Arial" w:hAnsi="Arial"/>
          <w:sz w:val="16"/>
          <w:szCs w:val="16"/>
          <w:color w:val="auto"/>
        </w:rPr>
      </w:pPr>
    </w:p>
    <w:p>
      <w:pPr>
        <w:ind w:left="460" w:hanging="224"/>
        <w:spacing w:after="0" w:line="275" w:lineRule="auto"/>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our stockholders and for nominations of candidates for election to our board of directors;</w:t>
      </w:r>
    </w:p>
    <w:p>
      <w:pPr>
        <w:spacing w:after="0" w:line="170"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permitting the board of directors to issue up to 10,000,000 shares of preferred stock with any rights, preferences and privileges they may designate;</w:t>
      </w:r>
    </w:p>
    <w:p>
      <w:pPr>
        <w:spacing w:after="0" w:line="245" w:lineRule="exact"/>
        <w:rPr>
          <w:rFonts w:ascii="Arial" w:cs="Arial" w:eastAsia="Arial" w:hAnsi="Arial"/>
          <w:sz w:val="16"/>
          <w:szCs w:val="16"/>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our directors and officers;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that vacancies may be filled by remaining directors;</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preventing cumulative voting; and</w:t>
      </w:r>
    </w:p>
    <w:p>
      <w:pPr>
        <w:spacing w:after="0" w:line="222" w:lineRule="exact"/>
        <w:rPr>
          <w:rFonts w:ascii="Arial" w:cs="Arial" w:eastAsia="Arial" w:hAnsi="Arial"/>
          <w:sz w:val="18"/>
          <w:szCs w:val="18"/>
          <w:color w:val="auto"/>
        </w:rPr>
      </w:pPr>
    </w:p>
    <w:p>
      <w:pPr>
        <w:ind w:left="460" w:hanging="224"/>
        <w:spacing w:after="0"/>
        <w:tabs>
          <w:tab w:leader="none" w:pos="4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providing for a supermajority requirement to amend our bylaws.</w:t>
      </w:r>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a Delaware corporation, we are also subject to provisions of Delaware law, including Section 203 of the General Corporation Law of the State of Delaware, which prohibits a Delaware corporation from engaging in a broad range of business combinations with any “interested” stockholder for a period of three years following the date on which the stockholder became an “interested” stockholder.</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addition, the provisions of our termination agreement with Aquestive and the Deerfield Warrant may delay or prevent a change in control of our company. For example, if we enter into a merger, an asset sale or any other change of control transaction, then Aquestive will be entitled to a royalty equal to 10% of the price being paid to us and our stockholders in such transaction which is attributable to the value of AZSTARYS, KP484, KP879 or KP1077. Further, under the Deerfield Warrant, Deerfield has the right to demand that we redeem the Deerfield Warrant for a cash amount equal to the Black-Scholes value of a portion of the warrant upon the occurrence of specified events, including a merger, an asset sale or any other change of control transaction. A takeover of us may trigger the requirement that we repurchase the Deerfield Warrant, which could make it more costly for a potential acquirer to engage in a business combination transaction with us.</w:t>
      </w:r>
    </w:p>
    <w:p>
      <w:pPr>
        <w:spacing w:after="0" w:line="18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Any provision of our certificate of incorporation, bylaws or Delaware law or any term of our contracts that has the effect of discouraging, delaying or preventing a change in control could limit the opportunity for our stockholders to receive a premium for their shares of our common stock and could also affect the price that some investors are willing to pay for our common stock.</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i w:val="1"/>
          <w:iCs w:val="1"/>
          <w:color w:val="auto"/>
        </w:rPr>
        <w:t>Our certificate of incorporation provides that the Court of Chancery of the State of Delaware is the exclusive forum for substantially all disputes between us and our stockholders, which could limit our stockholders</w:t>
      </w:r>
      <w:r>
        <w:rPr>
          <w:rFonts w:ascii="Arial" w:cs="Arial" w:eastAsia="Arial" w:hAnsi="Arial"/>
          <w:sz w:val="18"/>
          <w:szCs w:val="18"/>
          <w:color w:val="auto"/>
        </w:rPr>
        <w:t>’</w:t>
      </w:r>
      <w:r>
        <w:rPr>
          <w:rFonts w:ascii="Arial" w:cs="Arial" w:eastAsia="Arial" w:hAnsi="Arial"/>
          <w:sz w:val="18"/>
          <w:szCs w:val="18"/>
          <w:b w:val="1"/>
          <w:bCs w:val="1"/>
          <w:i w:val="1"/>
          <w:iCs w:val="1"/>
          <w:color w:val="auto"/>
        </w:rPr>
        <w:t xml:space="preserve"> ability to obtain a favorable judicial forum for disputes with us or our directors, officers or other employees.</w:t>
      </w:r>
    </w:p>
    <w:p>
      <w:pPr>
        <w:spacing w:after="0" w:line="182"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Our certificate of incorporation provides that the Court of Chancery of the State of Delaware is the sole and exclusive forum for (i) any derivative action or proceeding brought on our behalf, (ii) any action asserting a breach of fiduciary duty owed by any of our directors, officers or other employees to us or our stockholders, (iii) any action asserting a claim against us arising pursuant to any provisions of the Delaware General Corporation Law, or DGCL, our certificate of incorporation or our bylaws, or (iv) any action asserting a claim against us that is governed by the internal affairs doctrine.</w:t>
      </w:r>
    </w:p>
    <w:p>
      <w:pPr>
        <w:spacing w:after="0" w:line="155"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 xml:space="preserve">In addition, on and effective July 15, 2020, we amended and restated our bylaws, or the Bylaws, pursuant to which: (i)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shall be the sole and exclusive forum for the following types of actions or proceedings under Delaware statutory or common law: (A) any derivative action or proceeding brought on behalf of us; (B) any action or proceeding asserting a claim of breach of a fiduciary duty owed by any of our current or former directors, officers or other employees, to us or our stockholders; (C) any action or proceeding asserting a claim against us or any of our current or former directors, officers or other employees, arising out of or pursuant to any provision of the DGCL our certificate of incorporation or our Bylaws (as each may be amended from time to time); (D) any action or proceeding to interpret, apply, enforce or determine the validity of our certificate of incorporation or our Bylaws (including any right, obligation, or remedy thereunder); (E) any action or proceeding as to which the DGCL confers jurisdiction to the Court of Chancery of the State of Delaware; and (F) any action or proceeding asserting a claim against us or any of our directors, officers or other employees, governed by the internal affairs doctrine, in all cases to the fullest extent permitted by law and subject to the court’s having personal jurisdiction over the indispensable parties named as defendants,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this provision shall not apply to suits brought to enforce a duty or liability created by the Securities Act or the Exchange Act, or any other claim for which the federal courts have exclusive jurisdiction; (ii) unless we consent in writing to the selection of an alternative forum, to the fullest extent permitted by law, the federal district courts of the United States of America shall be the exclusive forum for the resolution of any complaint asserting a cause of action arising under the Securities Act; and (iii) any person or entity holding, owning or otherwise acquiring any interest in any security of us shall be deemed to have notice of and consented to the provisions of the Bylaws.</w:t>
      </w:r>
    </w:p>
    <w:p>
      <w:pPr>
        <w:spacing w:after="0" w:line="18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These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If a court were to find the choice of forum provision contained in our certificate of incorporation or our Bylaws to be inapplicable or unenforceable in an action, we may incur additional costs associated with resolving such action in other jurisdictions.</w:t>
      </w:r>
    </w:p>
    <w:p>
      <w:pPr>
        <w:spacing w:after="0" w:line="18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might not be able to utilize a significant portion of our net operating loss carryforwards, which could adversely affect our profitability.</w:t>
      </w:r>
    </w:p>
    <w:p>
      <w:pPr>
        <w:spacing w:after="0" w:line="23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As of June 30, 2021, we had federal net operating loss carryforwards of approximately $226.0 million, due to prior period losses, $138.1 million of which, if not utilized, will begin to expire in 2027. These net operating loss carryforwards could expire unused and be unavailable to offset future income tax liabilities, which could adversely affect our profitability. On December 22, 2017, the U.S. government enacted H.R. 1, “An Act to provide for reconciliation pursuant to titles II and V of the concurrent resolution on the budget for fiscal year 2018” (informally titled the Tax Cuts and Jobs Act). Under the Tax Cuts and Jobs Act, U.S. federal net operating losses incurred in 2018 and in future years may be carried forward indefinitely, but the deductibility of such federal net operating losses is limited. It is uncertain if and to what extent various states will conform to the Tax Cuts and Jobs Act. To the extent that we continue to generate taxable losses in the United States, unused losses will carry forward to offset future taxable income (subject to any applicable limitations), if any. In addition, under Section 382 and Section 383 of the Code, if a corporation undergoes an ‘‘ownership change,’’ which is generally defined as a greater than 50% change, by value, in its equity ownership over a three-year period, the corporation’s ability to use its pre-change net operating loss carryforwards and other pre-change tax attributes to offset its post-change income may be limited. We performed a Section 382 ownership change analysis in 2017 and determined that we experienced an ownership change in 2010, which resulted in a portion of our net operating loss carryforwards being subject to an annual limitation under Section 382 through 2012. No other ownership changes or limitations on our historical net operating loss carryforwards were noted through the year ended December 31, 2017. In addition, we may experience ownership changes in the future as a result of subsequent shifts in our stock ownership, including as a result of the conversion of our outstanding convertible debt or as a result of future changes in our stock ownership. If we determine that an ownership change has occurred and our ability to use our historical net operating loss carryforwards is materially limited, it would harm our future operating results by increasing our future tax obligations.</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3"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Changes in tax laws or regulations that are applied adversely to us may have a material adverse effect on our business, cash flow, financial condition or results of operations.</w:t>
      </w:r>
    </w:p>
    <w:p>
      <w:pPr>
        <w:spacing w:after="0" w:line="17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affect the tax treatment of our domestic earnings, if any. Any new taxes could adversely affect our business operations, and our business and financial performance. Further, existing tax laws, statutes, rules, regulations or ordinances could be interpreted, changed, modified or applied adversely to us. For example, legislation enacted in 2017, informally titled the Tax Cuts and Jobs Act, significantly revised the Internal Revenue Code of 1986, as amended. Future guidance from the Internal Revenue Service and other tax authorities with respect to the Tax Cuts and Jobs Act may affect us, and certain aspects of the Tax Cuts and Jobs Act could be repealed or modified in future legislation. In addition, it is uncertain if and to what extent various states will conform to the Tax Cuts and Jobs Act or any newly enacted federal tax legislation. Changes in corporate tax rates, the realization of net deferred tax assets relating to our operations, the taxation of foreign earnings, and the deductibility of expenses under the Tax Cuts and Jobs Act or future reform legislation could have a material impact on the value of our deferred tax assets, could result in significant one-time charges, and could increase our future U.S. tax expense.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maintain proper and effective internal controls, our ability to produce accurate financial statements on a timely basis could be impaired.</w:t>
      </w:r>
    </w:p>
    <w:p>
      <w:pPr>
        <w:spacing w:after="0" w:line="246"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We are subject to the reporting requirements of the Exchange Act, the Sarbanes-Oxley Act of 2002, or the Sarbanes-Oxley Act, and the rules and regulations of the stock market on which our common stock is listed. The Sarbanes-Oxley Act requires, among other things, that we maintain effective disclosure controls and procedures and internal controls over financial reporting. We have performed system and process evaluation and testing of our internal controls over financial reporting to allow management to report on the effectiveness of our internal controls over financial reporting, as required by Section 404 of the Sarbanes-Oxley Act. We will be required to perform this evaluation and testing of our internal controls over financial reporting to allow management to report on the effectiveness of our internal controls over financial reporting on an annual basis. This requires that we incur substantial additional professional fees and internal costs and that we expend significant management efforts on an annual basis. We have and will be required to test our internal controls within a specified period, and, as a result, we may experience difficulty in meeting these reporting requirements.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Our internal controls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90" w:lineRule="exact"/>
        <w:rPr>
          <w:sz w:val="20"/>
          <w:szCs w:val="20"/>
          <w:color w:val="auto"/>
        </w:rPr>
      </w:pPr>
    </w:p>
    <w:p>
      <w:pPr>
        <w:jc w:val="both"/>
        <w:spacing w:after="0" w:line="310" w:lineRule="auto"/>
        <w:rPr>
          <w:sz w:val="20"/>
          <w:szCs w:val="20"/>
          <w:color w:val="auto"/>
        </w:rPr>
      </w:pPr>
      <w:r>
        <w:rPr>
          <w:rFonts w:ascii="Arial" w:cs="Arial" w:eastAsia="Arial" w:hAnsi="Arial"/>
          <w:sz w:val="16"/>
          <w:szCs w:val="16"/>
          <w:color w:val="auto"/>
        </w:rPr>
        <w:t>If we are not able to comply with the requirements of Section 404 of the Sarbanes-Oxley Act, or if we are unable to maintain proper and effective internal controls, we may not be able to produce timely and accurate financial statements. If that were to happen, the market price of our stock could decline and we could be subject to sanctions or investigations by the stock exchange on which our common stock is listed, the SEC or other regulatory authorities.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Risk Factors</w:t>
      </w:r>
    </w:p>
    <w:p>
      <w:pPr>
        <w:spacing w:after="0" w:line="227"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you may not be able to resell your shares of our common stock for a profit, if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color w:val="auto"/>
        </w:rPr>
        <w:t>An active trading market for our shares may not be sustained. If an active market for our common stock is not sustained, it may be difficult for you to sell our shares at an attractive price, or at all.</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71" w:lineRule="exact"/>
        <w:rPr>
          <w:sz w:val="20"/>
          <w:szCs w:val="20"/>
          <w:color w:val="auto"/>
        </w:rPr>
      </w:pPr>
    </w:p>
    <w:p>
      <w:pPr>
        <w:jc w:val="both"/>
        <w:spacing w:after="0" w:line="300" w:lineRule="auto"/>
        <w:rPr>
          <w:sz w:val="20"/>
          <w:szCs w:val="20"/>
          <w:color w:val="auto"/>
        </w:rPr>
      </w:pPr>
      <w:r>
        <w:rPr>
          <w:rFonts w:ascii="Arial" w:cs="Arial" w:eastAsia="Arial" w:hAnsi="Arial"/>
          <w:sz w:val="16"/>
          <w:szCs w:val="16"/>
          <w:color w:val="auto"/>
        </w:rPr>
        <w:t>The trading market for our common stock is influenced by the research and reports that securities or industry analysts publish about us or our business, our market and our competitors. We do not have any control over these analysts. If one or more of the analysts who cover us downgrade our shares or change their opinion of our shares, our share price would likely decline. If one or more of these analysts cease coverage of our company or fail to regularly publish reports on us, we could lose visibility in the financial markets, which could cause our share price or trading volume to decline.</w:t>
      </w:r>
    </w:p>
    <w:p>
      <w:pPr>
        <w:spacing w:after="0" w:line="155" w:lineRule="exact"/>
        <w:rPr>
          <w:sz w:val="20"/>
          <w:szCs w:val="20"/>
          <w:color w:val="auto"/>
        </w:rPr>
      </w:pPr>
    </w:p>
    <w:p>
      <w:pPr>
        <w:jc w:val="both"/>
        <w:spacing w:after="0" w:line="275"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common stock in the foreseeable future, capital appreciation, if any, will be your sole source of gains and you may never receive a return on your investment.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You should not rely on an investment in our common stock to provide dividend income. We have not declared or paid cash dividends on our common stock to date. We currently intend to retain our future earnings, if any, to fund the development and growth of our business. In addition, the terms of any future debt agreements may preclude us from paying dividends. As a result, capital appreciation, if any, of our common stock will be your sole source of gain for the foreseeable future. Investors seeking cash dividends should not purchase our common stock.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incur increased costs and demands upon management as a result of being a public company.</w:t>
      </w:r>
    </w:p>
    <w:p>
      <w:pPr>
        <w:spacing w:after="0" w:line="2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a public company listed in the United States, we incur significant additional legal, accounting and other costs. These additional costs could negatively affect our financial results. In addition, changing laws, regulations and standards relating to corporate governance and public disclosure, including regulations implemented by the SEC, may increase legal and financial compliance costs and make some activities more time consuming. These laws, regulations and standards are subject to varying interpretations and, as a result, their application in practice may evolve over time as new guidance is provided by regulatory and governing bodies. We intend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to comply with new laws, regulations and standards, we fail to comply, regulatory authorities may initiate legal proceedings against us.</w:t>
      </w:r>
    </w:p>
    <w:p>
      <w:pPr>
        <w:spacing w:after="0" w:line="18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Failure to comply with these rules might also make it more difficult for us to obtain some types of insurance, including director and officer liability insurance, and we might be forced to accept reduced policy limits and coverage or incur substantially higher costs to obtain the same or similar coverage. The impact of these events could also make it more difficult for us to attract and retain qualified persons to serve on our board of directors, on committees of our board of directors or as members of senior management.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1" w:lineRule="exact"/>
        <w:rPr>
          <w:sz w:val="20"/>
          <w:szCs w:val="20"/>
          <w:color w:val="auto"/>
        </w:rPr>
      </w:pPr>
    </w:p>
    <w:p>
      <w:pPr>
        <w:ind w:right="2879"/>
        <w:spacing w:after="0" w:line="500" w:lineRule="auto"/>
        <w:rPr>
          <w:sz w:val="20"/>
          <w:szCs w:val="20"/>
          <w:color w:val="auto"/>
        </w:rPr>
      </w:pPr>
      <w:r>
        <w:rPr>
          <w:rFonts w:ascii="Arial" w:cs="Arial" w:eastAsia="Arial" w:hAnsi="Arial"/>
          <w:sz w:val="18"/>
          <w:szCs w:val="18"/>
          <w:b w:val="1"/>
          <w:bCs w:val="1"/>
          <w:color w:val="auto"/>
        </w:rPr>
        <w:t>ITEM 2. UNREGISTERED SALES OF EQUITY SECURITIES AND USE OF PROCEEDS Recent Sales of Unregistered Securities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DEFAULTS UPON SENIOR SECURITIES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tab/>
        <w:t>OTHER INFORMATION</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0139"/>
          </w:cols>
          <w:pgMar w:left="320" w:top="125" w:right="1440"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tab/>
        <w:t>EXHIBITS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The following is a list of exhibits filed as part of this Form 10-Q (the SEC file number for all items incorporated by reference herein from reports on Forms 10-K, 10-Q, and 8-K is 001-36913):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1020" w:type="dxa"/>
            <w:vAlign w:val="bottom"/>
          </w:tcPr>
          <w:p>
            <w:pPr>
              <w:jc w:val="center"/>
              <w:spacing w:after="0"/>
              <w:rPr>
                <w:sz w:val="20"/>
                <w:szCs w:val="20"/>
                <w:color w:val="auto"/>
              </w:rPr>
            </w:pPr>
            <w:r>
              <w:rPr>
                <w:rFonts w:ascii="Arial" w:cs="Arial" w:eastAsia="Arial" w:hAnsi="Arial"/>
                <w:sz w:val="18"/>
                <w:szCs w:val="18"/>
                <w:b w:val="1"/>
                <w:bCs w:val="1"/>
                <w:color w:val="auto"/>
                <w:w w:val="93"/>
              </w:rPr>
              <w:t>Exhibit No.</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00" w:type="dxa"/>
            <w:vAlign w:val="bottom"/>
            <w:gridSpan w:val="8"/>
          </w:tcPr>
          <w:p>
            <w:pPr>
              <w:ind w:left="40"/>
              <w:spacing w:after="0"/>
              <w:rPr>
                <w:sz w:val="20"/>
                <w:szCs w:val="20"/>
                <w:color w:val="auto"/>
              </w:rPr>
            </w:pPr>
            <w:r>
              <w:rPr>
                <w:rFonts w:ascii="Arial" w:cs="Arial" w:eastAsia="Arial" w:hAnsi="Arial"/>
                <w:sz w:val="18"/>
                <w:szCs w:val="18"/>
                <w:b w:val="1"/>
                <w:bCs w:val="1"/>
                <w:color w:val="auto"/>
              </w:rPr>
              <w:t>Description</w:t>
            </w:r>
          </w:p>
        </w:tc>
      </w:tr>
      <w:tr>
        <w:trPr>
          <w:trHeight w:val="168"/>
        </w:trPr>
        <w:tc>
          <w:tcPr>
            <w:tcW w:w="1020" w:type="dxa"/>
            <w:vAlign w:val="bottom"/>
            <w:tcBorders>
              <w:top w:val="single" w:sz="8" w:color="auto"/>
            </w:tcBorders>
          </w:tcPr>
          <w:p>
            <w:pPr>
              <w:jc w:val="center"/>
              <w:spacing w:after="0" w:line="168" w:lineRule="exact"/>
              <w:rPr>
                <w:sz w:val="20"/>
                <w:szCs w:val="20"/>
                <w:color w:val="auto"/>
              </w:rPr>
            </w:pPr>
            <w:r>
              <w:rPr>
                <w:rFonts w:ascii="Arial" w:cs="Arial" w:eastAsia="Arial" w:hAnsi="Arial"/>
                <w:sz w:val="18"/>
                <w:szCs w:val="18"/>
                <w:color w:val="auto"/>
                <w:w w:val="95"/>
              </w:rPr>
              <w:t>3.1</w:t>
            </w:r>
          </w:p>
        </w:tc>
        <w:tc>
          <w:tcPr>
            <w:tcW w:w="220" w:type="dxa"/>
            <w:vAlign w:val="bottom"/>
          </w:tcPr>
          <w:p>
            <w:pPr>
              <w:spacing w:after="0"/>
              <w:rPr>
                <w:sz w:val="14"/>
                <w:szCs w:val="14"/>
                <w:color w:val="auto"/>
              </w:rPr>
            </w:pPr>
          </w:p>
        </w:tc>
        <w:tc>
          <w:tcPr>
            <w:tcW w:w="20" w:type="dxa"/>
            <w:vAlign w:val="bottom"/>
            <w:tcBorders>
              <w:bottom w:val="single" w:sz="8" w:color="0000EE"/>
            </w:tcBorders>
          </w:tcPr>
          <w:p>
            <w:pPr>
              <w:spacing w:after="0"/>
              <w:rPr>
                <w:sz w:val="14"/>
                <w:szCs w:val="14"/>
                <w:color w:val="auto"/>
              </w:rPr>
            </w:pPr>
          </w:p>
        </w:tc>
        <w:tc>
          <w:tcPr>
            <w:tcW w:w="9980" w:type="dxa"/>
            <w:vAlign w:val="bottom"/>
            <w:tcBorders>
              <w:top w:val="single" w:sz="8" w:color="auto"/>
              <w:bottom w:val="single" w:sz="8" w:color="0000EE"/>
            </w:tcBorders>
            <w:gridSpan w:val="21"/>
          </w:tcPr>
          <w:p>
            <w:pPr>
              <w:spacing w:after="0" w:line="168" w:lineRule="exact"/>
              <w:rPr>
                <w:rFonts w:ascii="Arial" w:cs="Arial" w:eastAsia="Arial" w:hAnsi="Arial"/>
                <w:sz w:val="18"/>
                <w:szCs w:val="18"/>
                <w:color w:val="0000EE"/>
                <w:w w:val="95"/>
              </w:rPr>
            </w:pPr>
            <w:hyperlink r:id="rId125">
              <w:r>
                <w:rPr>
                  <w:rFonts w:ascii="Arial" w:cs="Arial" w:eastAsia="Arial" w:hAnsi="Arial"/>
                  <w:sz w:val="18"/>
                  <w:szCs w:val="18"/>
                  <w:color w:val="0000EE"/>
                  <w:w w:val="95"/>
                </w:rPr>
                <w:t>Amended and Restated Certificate of Incorporation of KemPharm, Inc. (incorporated herein by reference to the Registrant’s Current</w:t>
              </w:r>
            </w:hyperlink>
          </w:p>
        </w:tc>
        <w:tc>
          <w:tcPr>
            <w:tcW w:w="20" w:type="dxa"/>
            <w:vAlign w:val="bottom"/>
            <w:tcBorders>
              <w:bottom w:val="single" w:sz="8" w:color="0000EE"/>
            </w:tcBorders>
          </w:tcPr>
          <w:p>
            <w:pPr>
              <w:spacing w:after="0"/>
              <w:rPr>
                <w:sz w:val="14"/>
                <w:szCs w:val="14"/>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25">
              <w:r>
                <w:rPr>
                  <w:rFonts w:ascii="Arial" w:cs="Arial" w:eastAsia="Arial" w:hAnsi="Arial"/>
                  <w:sz w:val="18"/>
                  <w:szCs w:val="18"/>
                  <w:color w:val="0000EE"/>
                </w:rPr>
                <w:t>Report on Form 8-K as filed with the SEC on April 21, 2015).</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4"/>
              </w:rPr>
            </w:pPr>
            <w:hyperlink r:id="rId126">
              <w:r>
                <w:rPr>
                  <w:rFonts w:ascii="Arial" w:cs="Arial" w:eastAsia="Arial" w:hAnsi="Arial"/>
                  <w:sz w:val="18"/>
                  <w:szCs w:val="18"/>
                  <w:color w:val="0000EE"/>
                  <w:w w:val="94"/>
                </w:rPr>
                <w:t>Certificate of Amendment of Amended and Restated Certificate of Incorporation of the Registrant, effective as of December 23, 2020</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920" w:type="dxa"/>
            <w:vAlign w:val="bottom"/>
            <w:tcBorders>
              <w:bottom w:val="single" w:sz="8" w:color="0000EE"/>
            </w:tcBorders>
            <w:gridSpan w:val="20"/>
          </w:tcPr>
          <w:p>
            <w:pPr>
              <w:spacing w:after="0" w:line="195"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(incorporated herein by reference to Registrant's Current Report on Form 8-K as filed with the SEC on December 23, 2020).</w:t>
              </w:r>
            </w:hyperlink>
          </w:p>
        </w:tc>
        <w:tc>
          <w:tcPr>
            <w:tcW w:w="1100" w:type="dxa"/>
            <w:vAlign w:val="bottom"/>
            <w:gridSpan w:val="3"/>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1"/>
              </w:rPr>
            </w:pPr>
            <w:hyperlink r:id="rId127">
              <w:r>
                <w:rPr>
                  <w:rFonts w:ascii="Arial" w:cs="Arial" w:eastAsia="Arial" w:hAnsi="Arial"/>
                  <w:sz w:val="18"/>
                  <w:szCs w:val="18"/>
                  <w:color w:val="0000EE"/>
                  <w:w w:val="91"/>
                </w:rPr>
                <w:t>Certificate of Elimination of Series A Convertible Preferred Stock of KemPharm, Inc. (incorporated herein by reference to the Registrant's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27">
              <w:r>
                <w:rPr>
                  <w:rFonts w:ascii="Arial" w:cs="Arial" w:eastAsia="Arial" w:hAnsi="Arial"/>
                  <w:sz w:val="18"/>
                  <w:szCs w:val="18"/>
                  <w:color w:val="0000EE"/>
                </w:rPr>
                <w:t>Current Report on Form 8-K as filed with the SEC on June 23,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3.1.3</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9"/>
              </w:rPr>
            </w:pPr>
            <w:hyperlink r:id="rId128">
              <w:r>
                <w:rPr>
                  <w:rFonts w:ascii="Arial" w:cs="Arial" w:eastAsia="Arial" w:hAnsi="Arial"/>
                  <w:sz w:val="18"/>
                  <w:szCs w:val="18"/>
                  <w:color w:val="0000EE"/>
                  <w:w w:val="99"/>
                </w:rPr>
                <w:t>Certificate of Elimination of Series B-1 Convertible Preferred Stock of KemPharm, Inc. (incorporated herein by reference to the</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28">
              <w:r>
                <w:rPr>
                  <w:rFonts w:ascii="Arial" w:cs="Arial" w:eastAsia="Arial" w:hAnsi="Arial"/>
                  <w:sz w:val="18"/>
                  <w:szCs w:val="18"/>
                  <w:color w:val="0000EE"/>
                </w:rPr>
                <w:t>Registrant's Current Report on Form 8-K as filed with the SEC on June 23,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89"/>
              </w:rPr>
              <w:t>3.1.4</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9"/>
              </w:rPr>
            </w:pPr>
            <w:hyperlink r:id="rId129">
              <w:r>
                <w:rPr>
                  <w:rFonts w:ascii="Arial" w:cs="Arial" w:eastAsia="Arial" w:hAnsi="Arial"/>
                  <w:sz w:val="18"/>
                  <w:szCs w:val="18"/>
                  <w:color w:val="0000EE"/>
                  <w:w w:val="99"/>
                </w:rPr>
                <w:t>Certificate of Elimination of Series B-2 Convertible Preferred Stock of KemPharm, Inc. (incorporated herein by reference to the</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29">
              <w:r>
                <w:rPr>
                  <w:rFonts w:ascii="Arial" w:cs="Arial" w:eastAsia="Arial" w:hAnsi="Arial"/>
                  <w:sz w:val="18"/>
                  <w:szCs w:val="18"/>
                  <w:color w:val="0000EE"/>
                </w:rPr>
                <w:t>Registrant's Current Report on Form 8-K as filed with the SEC on June 23,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r:id="rId130">
              <w:r>
                <w:rPr>
                  <w:rFonts w:ascii="Arial" w:cs="Arial" w:eastAsia="Arial" w:hAnsi="Arial"/>
                  <w:sz w:val="18"/>
                  <w:szCs w:val="18"/>
                  <w:color w:val="0000EE"/>
                  <w:w w:val="93"/>
                </w:rPr>
                <w:t>Amended and Restated Bylaws, as currently in effect, of KemPharm, Inc. (incorporated herein by reference to the Registrant's Current</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30">
              <w:r>
                <w:rPr>
                  <w:rFonts w:ascii="Arial" w:cs="Arial" w:eastAsia="Arial" w:hAnsi="Arial"/>
                  <w:sz w:val="18"/>
                  <w:szCs w:val="18"/>
                  <w:color w:val="0000EE"/>
                </w:rPr>
                <w:t>Report on Form 8-K as filed with the SEC on July 17, 2020).</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4.1</w:t>
            </w: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auto"/>
              </w:rPr>
            </w:pPr>
            <w:r>
              <w:rPr>
                <w:rFonts w:ascii="Arial" w:cs="Arial" w:eastAsia="Arial" w:hAnsi="Arial"/>
                <w:sz w:val="18"/>
                <w:szCs w:val="18"/>
                <w:color w:val="auto"/>
              </w:rPr>
              <w:t xml:space="preserve">Reference is made to </w:t>
            </w:r>
            <w:hyperlink w:anchor="page109">
              <w:r>
                <w:rPr>
                  <w:rFonts w:ascii="Arial" w:cs="Arial" w:eastAsia="Arial" w:hAnsi="Arial"/>
                  <w:sz w:val="18"/>
                  <w:szCs w:val="18"/>
                  <w:color w:val="0000EE"/>
                </w:rPr>
                <w:t>Exhibit 3.1</w:t>
              </w:r>
            </w:hyperlink>
            <w:r>
              <w:rPr>
                <w:rFonts w:ascii="Arial" w:cs="Arial" w:eastAsia="Arial" w:hAnsi="Arial"/>
                <w:sz w:val="18"/>
                <w:szCs w:val="18"/>
                <w:color w:val="auto"/>
              </w:rPr>
              <w:t xml:space="preserve">, </w:t>
            </w:r>
            <w:hyperlink w:anchor="page109">
              <w:r>
                <w:rPr>
                  <w:rFonts w:ascii="Arial" w:cs="Arial" w:eastAsia="Arial" w:hAnsi="Arial"/>
                  <w:sz w:val="18"/>
                  <w:szCs w:val="18"/>
                  <w:color w:val="0000EE"/>
                </w:rPr>
                <w:t>Exhibit 3.1.1</w:t>
              </w:r>
              <w:r>
                <w:rPr>
                  <w:rFonts w:ascii="Arial" w:cs="Arial" w:eastAsia="Arial" w:hAnsi="Arial"/>
                  <w:sz w:val="18"/>
                  <w:szCs w:val="18"/>
                  <w:color w:val="auto"/>
                </w:rPr>
                <w:t xml:space="preserve"> </w:t>
              </w:r>
            </w:hyperlink>
            <w:r>
              <w:rPr>
                <w:rFonts w:ascii="Arial" w:cs="Arial" w:eastAsia="Arial" w:hAnsi="Arial"/>
                <w:sz w:val="18"/>
                <w:szCs w:val="18"/>
                <w:color w:val="auto"/>
              </w:rPr>
              <w:t xml:space="preserve">and </w:t>
            </w:r>
            <w:hyperlink w:anchor="page109">
              <w:r>
                <w:rPr>
                  <w:rFonts w:ascii="Arial" w:cs="Arial" w:eastAsia="Arial" w:hAnsi="Arial"/>
                  <w:sz w:val="18"/>
                  <w:szCs w:val="18"/>
                  <w:color w:val="0000EE"/>
                </w:rPr>
                <w:t>Exhibit 3.2</w:t>
              </w:r>
              <w:r>
                <w:rPr>
                  <w:rFonts w:ascii="Arial" w:cs="Arial" w:eastAsia="Arial" w:hAnsi="Arial"/>
                  <w:sz w:val="18"/>
                  <w:szCs w:val="18"/>
                  <w:color w:val="auto"/>
                </w:rPr>
                <w:t xml:space="preserve"> </w:t>
              </w:r>
            </w:hyperlink>
            <w:r>
              <w:rPr>
                <w:rFonts w:ascii="Arial" w:cs="Arial" w:eastAsia="Arial" w:hAnsi="Arial"/>
                <w:sz w:val="18"/>
                <w:szCs w:val="18"/>
                <w:color w:val="auto"/>
              </w:rPr>
              <w:t>hereof.</w:t>
            </w: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2380" w:type="dxa"/>
            <w:vAlign w:val="bottom"/>
            <w:gridSpan w:val="3"/>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4.2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2"/>
              </w:rPr>
            </w:pPr>
            <w:hyperlink r:id="rId131">
              <w:r>
                <w:rPr>
                  <w:rFonts w:ascii="Arial" w:cs="Arial" w:eastAsia="Arial" w:hAnsi="Arial"/>
                  <w:sz w:val="18"/>
                  <w:szCs w:val="18"/>
                  <w:color w:val="0000EE"/>
                  <w:w w:val="92"/>
                </w:rPr>
                <w:t>Form of Inducement Warrant (incorporated herein by reference to the Registrant's Current Report on Form 8-K as filed with the SEC on</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r:id="rId131">
              <w:r>
                <w:rPr>
                  <w:rFonts w:ascii="Arial" w:cs="Arial" w:eastAsia="Arial" w:hAnsi="Arial"/>
                  <w:sz w:val="18"/>
                  <w:szCs w:val="18"/>
                  <w:color w:val="0000EE"/>
                </w:rPr>
                <w:t>June 23, 2021).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8"/>
              </w:rPr>
              <w:t>10.1*+</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11">
              <w:r>
                <w:rPr>
                  <w:rFonts w:ascii="Arial" w:cs="Arial" w:eastAsia="Arial" w:hAnsi="Arial"/>
                  <w:sz w:val="18"/>
                  <w:szCs w:val="18"/>
                  <w:color w:val="0000EE"/>
                  <w:w w:val="93"/>
                </w:rPr>
                <w:t>Amendment No. 1 to Collaboration and License Agreement, effective as of April 8, 2021, by and between the Company and Commave</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w:anchor="page111">
              <w:r>
                <w:rPr>
                  <w:rFonts w:ascii="Arial" w:cs="Arial" w:eastAsia="Arial" w:hAnsi="Arial"/>
                  <w:sz w:val="18"/>
                  <w:szCs w:val="18"/>
                  <w:color w:val="0000EE"/>
                </w:rPr>
                <w:t>Therapeutics SA.</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3200" w:type="dxa"/>
            <w:vAlign w:val="bottom"/>
            <w:gridSpan w:val="7"/>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10.2</w:t>
            </w:r>
          </w:p>
        </w:tc>
        <w:tc>
          <w:tcPr>
            <w:tcW w:w="220" w:type="dxa"/>
            <w:vAlign w:val="bottom"/>
          </w:tcPr>
          <w:p>
            <w:pPr>
              <w:spacing w:after="0"/>
              <w:rPr>
                <w:sz w:val="16"/>
                <w:szCs w:val="16"/>
                <w:color w:val="auto"/>
              </w:rPr>
            </w:pPr>
          </w:p>
        </w:tc>
        <w:tc>
          <w:tcPr>
            <w:tcW w:w="10000" w:type="dxa"/>
            <w:vAlign w:val="bottom"/>
            <w:tcBorders>
              <w:bottom w:val="single" w:sz="8" w:color="0000EE"/>
            </w:tcBorders>
            <w:gridSpan w:val="22"/>
          </w:tcPr>
          <w:p>
            <w:pPr>
              <w:spacing w:after="0" w:line="195" w:lineRule="exact"/>
              <w:rPr>
                <w:rFonts w:ascii="Arial" w:cs="Arial" w:eastAsia="Arial" w:hAnsi="Arial"/>
                <w:sz w:val="18"/>
                <w:szCs w:val="18"/>
                <w:color w:val="0000EE"/>
                <w:w w:val="90"/>
              </w:rPr>
            </w:pPr>
            <w:hyperlink r:id="rId132">
              <w:r>
                <w:rPr>
                  <w:rFonts w:ascii="Arial" w:cs="Arial" w:eastAsia="Arial" w:hAnsi="Arial"/>
                  <w:sz w:val="18"/>
                  <w:szCs w:val="18"/>
                  <w:color w:val="0000EE"/>
                  <w:w w:val="90"/>
                </w:rPr>
                <w:t>Form of Inducement Letter (incorporated herein by reference to the Registrant's Current Report on Form 8-K as filed with the SEC on June</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Borders>
              <w:bottom w:val="single" w:sz="8" w:color="0000EE"/>
            </w:tcBorders>
            <w:gridSpan w:val="3"/>
          </w:tcPr>
          <w:p>
            <w:pPr>
              <w:spacing w:after="0" w:line="195" w:lineRule="exact"/>
              <w:rPr>
                <w:rFonts w:ascii="Arial" w:cs="Arial" w:eastAsia="Arial" w:hAnsi="Arial"/>
                <w:sz w:val="18"/>
                <w:szCs w:val="18"/>
                <w:color w:val="0000EE"/>
                <w:w w:val="88"/>
              </w:rPr>
            </w:pPr>
            <w:hyperlink r:id="rId132">
              <w:r>
                <w:rPr>
                  <w:rFonts w:ascii="Arial" w:cs="Arial" w:eastAsia="Arial" w:hAnsi="Arial"/>
                  <w:sz w:val="18"/>
                  <w:szCs w:val="18"/>
                  <w:color w:val="0000EE"/>
                  <w:w w:val="88"/>
                </w:rPr>
                <w:t>23, 2021).</w:t>
              </w:r>
            </w:hyperlink>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1"/>
              </w:rPr>
              <w:t>10.3</w:t>
            </w: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w w:val="95"/>
              </w:rPr>
            </w:pPr>
            <w:hyperlink r:id="rId133">
              <w:r>
                <w:rPr>
                  <w:rFonts w:ascii="Arial" w:cs="Arial" w:eastAsia="Arial" w:hAnsi="Arial"/>
                  <w:sz w:val="18"/>
                  <w:szCs w:val="18"/>
                  <w:color w:val="0000EE"/>
                  <w:w w:val="95"/>
                </w:rPr>
                <w:t>Equity Distribution Agreement, dated July 2, 2021, by and among the Company, JMP Securities LLC and RBC Capital Markets, LLC</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980" w:type="dxa"/>
            <w:vAlign w:val="bottom"/>
            <w:tcBorders>
              <w:top w:val="single" w:sz="8" w:color="0000EE"/>
            </w:tcBorders>
            <w:gridSpan w:val="21"/>
          </w:tcPr>
          <w:p>
            <w:pPr>
              <w:spacing w:after="0" w:line="195" w:lineRule="exact"/>
              <w:rPr>
                <w:rFonts w:ascii="Arial" w:cs="Arial" w:eastAsia="Arial" w:hAnsi="Arial"/>
                <w:sz w:val="18"/>
                <w:szCs w:val="18"/>
                <w:color w:val="0000EE"/>
              </w:rPr>
            </w:pPr>
            <w:hyperlink r:id="rId133">
              <w:r>
                <w:rPr>
                  <w:rFonts w:ascii="Arial" w:cs="Arial" w:eastAsia="Arial" w:hAnsi="Arial"/>
                  <w:sz w:val="18"/>
                  <w:szCs w:val="18"/>
                  <w:color w:val="0000EE"/>
                </w:rPr>
                <w:t>(incorporated herein by reference to the Registrant's Current Report on Form 8-K as filed with the SEC on July 2, 2021).</w:t>
              </w:r>
            </w:hyperlink>
          </w:p>
        </w:tc>
        <w:tc>
          <w:tcPr>
            <w:tcW w:w="40" w:type="dxa"/>
            <w:vAlign w:val="bottom"/>
            <w:gridSpan w:val="2"/>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2"/>
              </w:rPr>
              <w:t>10.4*#</w:t>
            </w:r>
          </w:p>
        </w:tc>
        <w:tc>
          <w:tcPr>
            <w:tcW w:w="220" w:type="dxa"/>
            <w:vAlign w:val="bottom"/>
          </w:tcPr>
          <w:p>
            <w:pPr>
              <w:spacing w:after="0"/>
              <w:rPr>
                <w:sz w:val="16"/>
                <w:szCs w:val="16"/>
                <w:color w:val="auto"/>
              </w:rPr>
            </w:pPr>
          </w:p>
        </w:tc>
        <w:tc>
          <w:tcPr>
            <w:tcW w:w="8640" w:type="dxa"/>
            <w:vAlign w:val="bottom"/>
            <w:tcBorders>
              <w:top w:val="single" w:sz="8" w:color="0000EE"/>
            </w:tcBorders>
            <w:gridSpan w:val="19"/>
          </w:tcPr>
          <w:p>
            <w:pPr>
              <w:spacing w:after="0" w:line="195" w:lineRule="exact"/>
              <w:rPr>
                <w:rFonts w:ascii="Arial" w:cs="Arial" w:eastAsia="Arial" w:hAnsi="Arial"/>
                <w:sz w:val="18"/>
                <w:szCs w:val="18"/>
                <w:color w:val="0000EE"/>
              </w:rPr>
            </w:pPr>
            <w:hyperlink w:anchor="page116">
              <w:r>
                <w:rPr>
                  <w:rFonts w:ascii="Arial" w:cs="Arial" w:eastAsia="Arial" w:hAnsi="Arial"/>
                  <w:sz w:val="18"/>
                  <w:szCs w:val="18"/>
                  <w:color w:val="0000EE"/>
                </w:rPr>
                <w:t>Amended and Restated 2014 Equity Incentive Plan.</w:t>
              </w:r>
            </w:hyperlink>
          </w:p>
        </w:tc>
        <w:tc>
          <w:tcPr>
            <w:tcW w:w="1380" w:type="dxa"/>
            <w:vAlign w:val="bottom"/>
            <w:gridSpan w:val="4"/>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2"/>
              </w:rPr>
              <w:t>10.5*#</w:t>
            </w:r>
          </w:p>
        </w:tc>
        <w:tc>
          <w:tcPr>
            <w:tcW w:w="220" w:type="dxa"/>
            <w:vAlign w:val="bottom"/>
          </w:tcPr>
          <w:p>
            <w:pPr>
              <w:spacing w:after="0"/>
              <w:rPr>
                <w:sz w:val="16"/>
                <w:szCs w:val="16"/>
                <w:color w:val="auto"/>
              </w:rPr>
            </w:pPr>
          </w:p>
        </w:tc>
        <w:tc>
          <w:tcPr>
            <w:tcW w:w="3700" w:type="dxa"/>
            <w:vAlign w:val="bottom"/>
            <w:tcBorders>
              <w:top w:val="single" w:sz="8" w:color="0000EE"/>
            </w:tcBorders>
            <w:gridSpan w:val="11"/>
          </w:tcPr>
          <w:p>
            <w:pPr>
              <w:spacing w:after="0" w:line="195" w:lineRule="exact"/>
              <w:rPr>
                <w:rFonts w:ascii="Arial" w:cs="Arial" w:eastAsia="Arial" w:hAnsi="Arial"/>
                <w:sz w:val="18"/>
                <w:szCs w:val="18"/>
                <w:color w:val="0000EE"/>
              </w:rPr>
            </w:pPr>
            <w:hyperlink w:anchor="page142">
              <w:r>
                <w:rPr>
                  <w:rFonts w:ascii="Arial" w:cs="Arial" w:eastAsia="Arial" w:hAnsi="Arial"/>
                  <w:sz w:val="18"/>
                  <w:szCs w:val="18"/>
                  <w:color w:val="0000EE"/>
                </w:rPr>
                <w:t>2021 Employee Stock Purchase Plan.</w:t>
              </w:r>
            </w:hyperlink>
          </w:p>
        </w:tc>
        <w:tc>
          <w:tcPr>
            <w:tcW w:w="6320" w:type="dxa"/>
            <w:vAlign w:val="bottom"/>
            <w:gridSpan w:val="12"/>
          </w:tcPr>
          <w:p>
            <w:pPr>
              <w:spacing w:after="0"/>
              <w:rPr>
                <w:sz w:val="16"/>
                <w:szCs w:val="16"/>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980" w:type="dxa"/>
            <w:vAlign w:val="bottom"/>
            <w:gridSpan w:val="7"/>
            <w:shd w:val="clear" w:color="auto" w:fill="0000EE"/>
          </w:tcPr>
          <w:p>
            <w:pPr>
              <w:spacing w:after="0" w:line="20" w:lineRule="exact"/>
              <w:rPr>
                <w:sz w:val="1"/>
                <w:szCs w:val="1"/>
                <w:color w:val="auto"/>
              </w:rPr>
            </w:pPr>
          </w:p>
        </w:tc>
        <w:tc>
          <w:tcPr>
            <w:tcW w:w="4220" w:type="dxa"/>
            <w:vAlign w:val="bottom"/>
            <w:gridSpan w:val="9"/>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22"/>
          </w:tcPr>
          <w:p>
            <w:pPr>
              <w:spacing w:after="0" w:line="195" w:lineRule="exact"/>
              <w:rPr>
                <w:rFonts w:ascii="Arial" w:cs="Arial" w:eastAsia="Arial" w:hAnsi="Arial"/>
                <w:sz w:val="18"/>
                <w:szCs w:val="18"/>
                <w:color w:val="0000EE"/>
                <w:w w:val="93"/>
              </w:rPr>
            </w:pPr>
            <w:hyperlink w:anchor="page155">
              <w:r>
                <w:rPr>
                  <w:rFonts w:ascii="Arial" w:cs="Arial" w:eastAsia="Arial" w:hAnsi="Arial"/>
                  <w:sz w:val="18"/>
                  <w:szCs w:val="18"/>
                  <w:color w:val="0000EE"/>
                  <w:w w:val="93"/>
                </w:rPr>
                <w:t>Certification of the Principal Executive Officer pursuant to Rule 13a-14(a) or Rule 15d-14(a) of the Securities Exchange Act of 1934, as</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w:anchor="page155">
              <w:r>
                <w:rPr>
                  <w:rFonts w:ascii="Arial" w:cs="Arial" w:eastAsia="Arial" w:hAnsi="Arial"/>
                  <w:sz w:val="18"/>
                  <w:szCs w:val="18"/>
                  <w:color w:val="0000EE"/>
                  <w:w w:val="84"/>
                </w:rPr>
                <w:t>amended.</w:t>
              </w:r>
            </w:hyperlink>
          </w:p>
        </w:tc>
        <w:tc>
          <w:tcPr>
            <w:tcW w:w="9320" w:type="dxa"/>
            <w:vAlign w:val="bottom"/>
            <w:gridSpan w:val="21"/>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31.2*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56">
              <w:r>
                <w:rPr>
                  <w:rFonts w:ascii="Arial" w:cs="Arial" w:eastAsia="Arial" w:hAnsi="Arial"/>
                  <w:sz w:val="18"/>
                  <w:szCs w:val="18"/>
                  <w:color w:val="0000EE"/>
                  <w:w w:val="93"/>
                </w:rPr>
                <w:t>Certification of the Principal Financial Officer pursuant to Rule 13a-14(a) or Rule 15d-14(a) of the Securities Exchange Act of 1934, as</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00" w:type="dxa"/>
            <w:vAlign w:val="bottom"/>
            <w:tcBorders>
              <w:bottom w:val="single" w:sz="8" w:color="0000EE"/>
            </w:tcBorders>
            <w:gridSpan w:val="2"/>
          </w:tcPr>
          <w:p>
            <w:pPr>
              <w:spacing w:after="0" w:line="195" w:lineRule="exact"/>
              <w:rPr>
                <w:rFonts w:ascii="Arial" w:cs="Arial" w:eastAsia="Arial" w:hAnsi="Arial"/>
                <w:sz w:val="18"/>
                <w:szCs w:val="18"/>
                <w:color w:val="0000EE"/>
                <w:w w:val="84"/>
              </w:rPr>
            </w:pPr>
            <w:hyperlink w:anchor="page156">
              <w:r>
                <w:rPr>
                  <w:rFonts w:ascii="Arial" w:cs="Arial" w:eastAsia="Arial" w:hAnsi="Arial"/>
                  <w:sz w:val="18"/>
                  <w:szCs w:val="18"/>
                  <w:color w:val="0000EE"/>
                  <w:w w:val="84"/>
                </w:rPr>
                <w:t>amended.</w:t>
              </w:r>
            </w:hyperlink>
          </w:p>
        </w:tc>
        <w:tc>
          <w:tcPr>
            <w:tcW w:w="9320" w:type="dxa"/>
            <w:vAlign w:val="bottom"/>
            <w:gridSpan w:val="21"/>
          </w:tcPr>
          <w:p>
            <w:pPr>
              <w:spacing w:after="0"/>
              <w:rPr>
                <w:sz w:val="16"/>
                <w:szCs w:val="16"/>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32.1*</w:t>
            </w:r>
          </w:p>
        </w:tc>
        <w:tc>
          <w:tcPr>
            <w:tcW w:w="220" w:type="dxa"/>
            <w:vAlign w:val="bottom"/>
          </w:tcPr>
          <w:p>
            <w:pPr>
              <w:spacing w:after="0"/>
              <w:rPr>
                <w:sz w:val="16"/>
                <w:szCs w:val="16"/>
                <w:color w:val="auto"/>
              </w:rPr>
            </w:pPr>
          </w:p>
        </w:tc>
        <w:tc>
          <w:tcPr>
            <w:tcW w:w="10000" w:type="dxa"/>
            <w:vAlign w:val="bottom"/>
            <w:tcBorders>
              <w:bottom w:val="single" w:sz="8" w:color="0000EE"/>
            </w:tcBorders>
            <w:gridSpan w:val="22"/>
          </w:tcPr>
          <w:p>
            <w:pPr>
              <w:spacing w:after="0" w:line="195" w:lineRule="exact"/>
              <w:rPr>
                <w:rFonts w:ascii="Arial" w:cs="Arial" w:eastAsia="Arial" w:hAnsi="Arial"/>
                <w:sz w:val="18"/>
                <w:szCs w:val="18"/>
                <w:color w:val="0000EE"/>
                <w:w w:val="92"/>
              </w:rPr>
            </w:pPr>
            <w:hyperlink w:anchor="page157">
              <w:r>
                <w:rPr>
                  <w:rFonts w:ascii="Arial" w:cs="Arial" w:eastAsia="Arial" w:hAnsi="Arial"/>
                  <w:sz w:val="18"/>
                  <w:szCs w:val="18"/>
                  <w:color w:val="0000EE"/>
                  <w:w w:val="92"/>
                </w:rPr>
                <w:t>Certification of the Principal Executive Officer pursuant to Rule 13a-14(b) of the Securities Exchange Act of 1934, as amended, and 18.</w:t>
              </w:r>
            </w:hyperlink>
          </w:p>
        </w:tc>
        <w:tc>
          <w:tcPr>
            <w:tcW w:w="20" w:type="dxa"/>
            <w:vAlign w:val="bottom"/>
          </w:tcPr>
          <w:p>
            <w:pPr>
              <w:spacing w:after="0"/>
              <w:rPr>
                <w:sz w:val="16"/>
                <w:szCs w:val="16"/>
                <w:color w:val="auto"/>
              </w:rPr>
            </w:pPr>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w:anchor="page157">
              <w:r>
                <w:rPr>
                  <w:rFonts w:ascii="Arial" w:cs="Arial" w:eastAsia="Arial" w:hAnsi="Arial"/>
                  <w:sz w:val="18"/>
                  <w:szCs w:val="18"/>
                  <w:color w:val="0000EE"/>
                </w:rPr>
                <w:t>U.S.C. Section 1350, as adopted pursuant to Section 906 of the Sarbanes-Oxley Act of 2002. (1)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00" w:type="dxa"/>
            <w:vAlign w:val="bottom"/>
            <w:gridSpan w:val="18"/>
            <w:shd w:val="clear" w:color="auto" w:fill="0000EE"/>
          </w:tcPr>
          <w:p>
            <w:pPr>
              <w:spacing w:after="0" w:line="20" w:lineRule="exact"/>
              <w:rPr>
                <w:sz w:val="1"/>
                <w:szCs w:val="1"/>
                <w:color w:val="auto"/>
              </w:rPr>
            </w:pPr>
          </w:p>
        </w:tc>
        <w:tc>
          <w:tcPr>
            <w:tcW w:w="3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1020" w:type="dxa"/>
            <w:vAlign w:val="bottom"/>
          </w:tcPr>
          <w:p>
            <w:pPr>
              <w:jc w:val="center"/>
              <w:spacing w:after="0" w:line="195" w:lineRule="exact"/>
              <w:rPr>
                <w:sz w:val="20"/>
                <w:szCs w:val="20"/>
                <w:color w:val="auto"/>
              </w:rPr>
            </w:pPr>
            <w:r>
              <w:rPr>
                <w:rFonts w:ascii="Arial" w:cs="Arial" w:eastAsia="Arial" w:hAnsi="Arial"/>
                <w:sz w:val="18"/>
                <w:szCs w:val="18"/>
                <w:color w:val="auto"/>
                <w:w w:val="95"/>
              </w:rPr>
              <w:t>32.2*</w:t>
            </w:r>
          </w:p>
        </w:tc>
        <w:tc>
          <w:tcPr>
            <w:tcW w:w="220" w:type="dxa"/>
            <w:vAlign w:val="bottom"/>
          </w:tcPr>
          <w:p>
            <w:pPr>
              <w:spacing w:after="0"/>
              <w:rPr>
                <w:sz w:val="16"/>
                <w:szCs w:val="16"/>
                <w:color w:val="auto"/>
              </w:rPr>
            </w:pPr>
          </w:p>
        </w:tc>
        <w:tc>
          <w:tcPr>
            <w:tcW w:w="10020" w:type="dxa"/>
            <w:vAlign w:val="bottom"/>
            <w:tcBorders>
              <w:bottom w:val="single" w:sz="8" w:color="0000EE"/>
            </w:tcBorders>
            <w:gridSpan w:val="23"/>
          </w:tcPr>
          <w:p>
            <w:pPr>
              <w:spacing w:after="0" w:line="195" w:lineRule="exact"/>
              <w:rPr>
                <w:rFonts w:ascii="Arial" w:cs="Arial" w:eastAsia="Arial" w:hAnsi="Arial"/>
                <w:sz w:val="18"/>
                <w:szCs w:val="18"/>
                <w:color w:val="0000EE"/>
                <w:w w:val="93"/>
              </w:rPr>
            </w:pPr>
            <w:hyperlink w:anchor="page158">
              <w:r>
                <w:rPr>
                  <w:rFonts w:ascii="Arial" w:cs="Arial" w:eastAsia="Arial" w:hAnsi="Arial"/>
                  <w:sz w:val="18"/>
                  <w:szCs w:val="18"/>
                  <w:color w:val="0000EE"/>
                  <w:w w:val="93"/>
                </w:rPr>
                <w:t>Certification of the Principal Financial Officer pursuant to Rule 13a-14(b) of the Securities Exchange Act of 1934, as amended, and 18.</w:t>
              </w:r>
            </w:hyperlink>
          </w:p>
        </w:tc>
      </w:tr>
      <w:tr>
        <w:trPr>
          <w:trHeight w:val="195"/>
        </w:trPr>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20" w:type="dxa"/>
            <w:vAlign w:val="bottom"/>
            <w:gridSpan w:val="23"/>
          </w:tcPr>
          <w:p>
            <w:pPr>
              <w:spacing w:after="0" w:line="195" w:lineRule="exact"/>
              <w:rPr>
                <w:rFonts w:ascii="Arial" w:cs="Arial" w:eastAsia="Arial" w:hAnsi="Arial"/>
                <w:sz w:val="18"/>
                <w:szCs w:val="18"/>
                <w:color w:val="0000EE"/>
              </w:rPr>
            </w:pPr>
            <w:hyperlink w:anchor="page158">
              <w:r>
                <w:rPr>
                  <w:rFonts w:ascii="Arial" w:cs="Arial" w:eastAsia="Arial" w:hAnsi="Arial"/>
                  <w:sz w:val="18"/>
                  <w:szCs w:val="18"/>
                  <w:color w:val="0000EE"/>
                </w:rPr>
                <w:t>U.S.C. Section 1350, as adopted pursuant to Section 906 of the Sarbanes-Oxley Act of 2002. (1)</w:t>
              </w:r>
            </w:hyperlink>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900" w:type="dxa"/>
            <w:vAlign w:val="bottom"/>
            <w:gridSpan w:val="18"/>
            <w:shd w:val="clear" w:color="auto" w:fill="0000EE"/>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r>
      <w:tr>
        <w:trPr>
          <w:trHeight w:val="221"/>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101.INS**</w:t>
            </w:r>
          </w:p>
        </w:tc>
        <w:tc>
          <w:tcPr>
            <w:tcW w:w="220" w:type="dxa"/>
            <w:vAlign w:val="bottom"/>
          </w:tcPr>
          <w:p>
            <w:pPr>
              <w:spacing w:after="0"/>
              <w:rPr>
                <w:sz w:val="19"/>
                <w:szCs w:val="19"/>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Instance Document (the Instance Document does not appear in the Interactive Data File because its XBRL (2)</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6"/>
              </w:rPr>
              <w:t>101.SCH**</w:t>
            </w:r>
          </w:p>
        </w:tc>
        <w:tc>
          <w:tcPr>
            <w:tcW w:w="220" w:type="dxa"/>
            <w:vAlign w:val="bottom"/>
          </w:tcPr>
          <w:p>
            <w:pPr>
              <w:spacing w:after="0"/>
              <w:rPr>
                <w:sz w:val="18"/>
                <w:szCs w:val="18"/>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9"/>
              </w:rPr>
              <w:t>101.CAL**</w:t>
            </w:r>
          </w:p>
        </w:tc>
        <w:tc>
          <w:tcPr>
            <w:tcW w:w="220" w:type="dxa"/>
            <w:vAlign w:val="bottom"/>
          </w:tcPr>
          <w:p>
            <w:pPr>
              <w:spacing w:after="0"/>
              <w:rPr>
                <w:sz w:val="18"/>
                <w:szCs w:val="18"/>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w w:val="98"/>
              </w:rPr>
              <w:t>101.DEF**</w:t>
            </w:r>
          </w:p>
        </w:tc>
        <w:tc>
          <w:tcPr>
            <w:tcW w:w="220" w:type="dxa"/>
            <w:vAlign w:val="bottom"/>
          </w:tcPr>
          <w:p>
            <w:pPr>
              <w:spacing w:after="0"/>
              <w:rPr>
                <w:sz w:val="18"/>
                <w:szCs w:val="18"/>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15"/>
        </w:trPr>
        <w:tc>
          <w:tcPr>
            <w:tcW w:w="1020" w:type="dxa"/>
            <w:vAlign w:val="bottom"/>
          </w:tcPr>
          <w:p>
            <w:pPr>
              <w:jc w:val="center"/>
              <w:spacing w:after="0"/>
              <w:rPr>
                <w:sz w:val="20"/>
                <w:szCs w:val="20"/>
                <w:color w:val="auto"/>
              </w:rPr>
            </w:pPr>
            <w:r>
              <w:rPr>
                <w:rFonts w:ascii="Arial" w:cs="Arial" w:eastAsia="Arial" w:hAnsi="Arial"/>
                <w:sz w:val="18"/>
                <w:szCs w:val="18"/>
                <w:color w:val="auto"/>
              </w:rPr>
              <w:t>101.LAB**</w:t>
            </w:r>
          </w:p>
        </w:tc>
        <w:tc>
          <w:tcPr>
            <w:tcW w:w="220" w:type="dxa"/>
            <w:vAlign w:val="bottom"/>
          </w:tcPr>
          <w:p>
            <w:pPr>
              <w:spacing w:after="0"/>
              <w:rPr>
                <w:sz w:val="18"/>
                <w:szCs w:val="18"/>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30"/>
        </w:trPr>
        <w:tc>
          <w:tcPr>
            <w:tcW w:w="1020" w:type="dxa"/>
            <w:vAlign w:val="bottom"/>
          </w:tcPr>
          <w:p>
            <w:pPr>
              <w:jc w:val="center"/>
              <w:spacing w:after="0"/>
              <w:rPr>
                <w:sz w:val="20"/>
                <w:szCs w:val="20"/>
                <w:color w:val="auto"/>
              </w:rPr>
            </w:pPr>
            <w:r>
              <w:rPr>
                <w:rFonts w:ascii="Arial" w:cs="Arial" w:eastAsia="Arial" w:hAnsi="Arial"/>
                <w:sz w:val="18"/>
                <w:szCs w:val="18"/>
                <w:color w:val="auto"/>
                <w:w w:val="95"/>
              </w:rPr>
              <w:t>101.PRE**</w:t>
            </w:r>
          </w:p>
        </w:tc>
        <w:tc>
          <w:tcPr>
            <w:tcW w:w="220" w:type="dxa"/>
            <w:vAlign w:val="bottom"/>
          </w:tcPr>
          <w:p>
            <w:pPr>
              <w:spacing w:after="0"/>
              <w:rPr>
                <w:sz w:val="19"/>
                <w:szCs w:val="19"/>
                <w:color w:val="auto"/>
              </w:rPr>
            </w:pPr>
          </w:p>
        </w:tc>
        <w:tc>
          <w:tcPr>
            <w:tcW w:w="10020" w:type="dxa"/>
            <w:vAlign w:val="bottom"/>
            <w:gridSpan w:val="2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200" w:lineRule="exact"/>
        <w:rPr>
          <w:sz w:val="20"/>
          <w:szCs w:val="20"/>
          <w:color w:val="auto"/>
        </w:rPr>
      </w:pPr>
    </w:p>
    <w:p>
      <w:pPr>
        <w:ind w:left="1240" w:hanging="856"/>
        <w:spacing w:after="0"/>
        <w:tabs>
          <w:tab w:leader="none" w:pos="1240" w:val="left"/>
        </w:tabs>
        <w:numPr>
          <w:ilvl w:val="1"/>
          <w:numId w:val="5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combined in Exhibit 101.1)</w:t>
      </w:r>
    </w:p>
    <w:p>
      <w:pPr>
        <w:spacing w:after="0" w:line="222"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2" w:lineRule="exact"/>
        <w:rPr>
          <w:rFonts w:ascii="Arial" w:cs="Arial" w:eastAsia="Arial" w:hAnsi="Arial"/>
          <w:sz w:val="18"/>
          <w:szCs w:val="18"/>
          <w:color w:val="auto"/>
        </w:rPr>
      </w:pPr>
    </w:p>
    <w:p>
      <w:pPr>
        <w:jc w:val="both"/>
        <w:ind w:left="500" w:hanging="493"/>
        <w:spacing w:after="0" w:line="249" w:lineRule="auto"/>
        <w:tabs>
          <w:tab w:leader="none" w:pos="5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Attached as Exhibit 101 to this Quarterly Report on Form 10-Q for the quarter ended June 30, 2021, formatted in XBRL (Extensible Business Reporting Language): (i) Unaudited Condensed Balance Sheets, (ii) Unaudited Condensed Statements of Operations, (iii) Unaudited Condensed Statements of Changes in Stockholders' Deficit, (iv) Unaudited Condensed Statements of Cash Flows, and (v) Notes to Unaudited Condensed Financial Statements, tagged as blocks of text and including detailed tags.</w:t>
      </w:r>
    </w:p>
    <w:p>
      <w:pPr>
        <w:spacing w:after="0" w:line="1" w:lineRule="exact"/>
        <w:rPr>
          <w:sz w:val="20"/>
          <w:szCs w:val="20"/>
          <w:color w:val="auto"/>
        </w:rPr>
      </w:pPr>
    </w:p>
    <w:p>
      <w:pPr>
        <w:jc w:val="both"/>
        <w:ind w:left="500" w:hanging="493"/>
        <w:spacing w:after="0" w:line="249" w:lineRule="auto"/>
        <w:tabs>
          <w:tab w:leader="none" w:pos="5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Pursuant to Item 601(b)(10) of Regulation S-K, certain confidential portions of this exhibit have been omitted by means of marking such portions with asterisks [***] as the identified confidential portions (i) are not material and (ii) the Registrant customarily and actually treats that information as private or confidential.</w:t>
      </w:r>
    </w:p>
    <w:p>
      <w:pPr>
        <w:spacing w:after="0" w:line="1" w:lineRule="exact"/>
        <w:rPr>
          <w:sz w:val="20"/>
          <w:szCs w:val="20"/>
          <w:color w:val="auto"/>
        </w:rPr>
      </w:pPr>
    </w:p>
    <w:p>
      <w:pPr>
        <w:ind w:left="500" w:hanging="493"/>
        <w:spacing w:after="0"/>
        <w:tabs>
          <w:tab w:leader="none" w:pos="5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8" w:lineRule="exact"/>
        <w:rPr>
          <w:sz w:val="20"/>
          <w:szCs w:val="20"/>
          <w:color w:val="auto"/>
        </w:rPr>
      </w:pPr>
    </w:p>
    <w:p>
      <w:pPr>
        <w:jc w:val="both"/>
        <w:ind w:left="500" w:hanging="493"/>
        <w:spacing w:after="0" w:line="249"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This certification accompanies the Quarterly Report on Form 10-Q to which it relates, is not deemed filed with the SEC and is not to be incorporated by reference into any filing of the Registrant under the Securities Act or the Exchange Act (whether made before or after the date of the Quarterly Report on Form 10-Q), irrespective of any general incorporation language contained in such filing.</w:t>
      </w:r>
    </w:p>
    <w:p>
      <w:pPr>
        <w:ind w:left="500" w:right="20" w:hanging="493"/>
        <w:spacing w:after="0" w:line="258" w:lineRule="auto"/>
        <w:tabs>
          <w:tab w:leader="none" w:pos="5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These interactive data files shall not be deemed filed for purposes of Section 11 or 12 of the Securities Act of 1933, as amended, or Section 18 of the Securities Exchange Act of 1934, as amended, or otherwise subject to liability under those sections.</w:t>
      </w:r>
    </w:p>
    <w:p>
      <w:pPr>
        <w:sectPr>
          <w:pgSz w:w="11900" w:h="16838" w:orient="portrait"/>
          <w:cols w:equalWidth="0" w:num="1">
            <w:col w:w="11240"/>
          </w:cols>
          <w:pgMar w:left="320" w:top="125" w:right="339"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713295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109" w:name="page110"/>
    <w:bookmarkEnd w:id="10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7" w:lineRule="exact"/>
        <w:rPr>
          <w:sz w:val="20"/>
          <w:szCs w:val="20"/>
          <w:color w:val="auto"/>
        </w:rPr>
      </w:pPr>
    </w:p>
    <w:p>
      <w:pPr>
        <w:spacing w:after="0" w:line="27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7400" w:type="dxa"/>
            <w:vAlign w:val="bottom"/>
            <w:gridSpan w:val="2"/>
          </w:tcPr>
          <w:p>
            <w:pPr>
              <w:ind w:left="1980"/>
              <w:spacing w:after="0"/>
              <w:rPr>
                <w:sz w:val="20"/>
                <w:szCs w:val="20"/>
                <w:color w:val="auto"/>
              </w:rPr>
            </w:pPr>
            <w:r>
              <w:rPr>
                <w:rFonts w:ascii="Arial" w:cs="Arial" w:eastAsia="Arial" w:hAnsi="Arial"/>
                <w:sz w:val="18"/>
                <w:szCs w:val="18"/>
                <w:b w:val="1"/>
                <w:bCs w:val="1"/>
                <w:color w:val="auto"/>
              </w:rPr>
              <w:t>KemPharm, Inc.</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40"/>
              <w:spacing w:after="0"/>
              <w:rPr>
                <w:sz w:val="20"/>
                <w:szCs w:val="20"/>
                <w:color w:val="auto"/>
              </w:rPr>
            </w:pPr>
            <w:r>
              <w:rPr>
                <w:rFonts w:ascii="Arial" w:cs="Arial" w:eastAsia="Arial" w:hAnsi="Arial"/>
                <w:sz w:val="18"/>
                <w:szCs w:val="18"/>
                <w:color w:val="auto"/>
              </w:rPr>
              <w:t>August 13,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5000" w:type="dxa"/>
            <w:vAlign w:val="bottom"/>
          </w:tcPr>
          <w:p>
            <w:pPr>
              <w:spacing w:after="0" w:line="195" w:lineRule="exact"/>
              <w:rPr>
                <w:sz w:val="20"/>
                <w:szCs w:val="20"/>
                <w:color w:val="auto"/>
              </w:rPr>
            </w:pPr>
            <w:r>
              <w:rPr>
                <w:rFonts w:ascii="Arial" w:cs="Arial" w:eastAsia="Arial" w:hAnsi="Arial"/>
                <w:sz w:val="18"/>
                <w:szCs w:val="18"/>
                <w:color w:val="auto"/>
              </w:rPr>
              <w:t>Travis C. Mickle, Ph.D.</w:t>
            </w:r>
          </w:p>
        </w:tc>
      </w:tr>
      <w:tr>
        <w:trPr>
          <w:trHeight w:val="215"/>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52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3320" w:type="dxa"/>
            <w:vAlign w:val="bottom"/>
          </w:tcPr>
          <w:p>
            <w:pPr>
              <w:ind w:left="140"/>
              <w:spacing w:after="0"/>
              <w:rPr>
                <w:sz w:val="20"/>
                <w:szCs w:val="20"/>
                <w:color w:val="auto"/>
              </w:rPr>
            </w:pPr>
            <w:r>
              <w:rPr>
                <w:rFonts w:ascii="Arial" w:cs="Arial" w:eastAsia="Arial" w:hAnsi="Arial"/>
                <w:sz w:val="18"/>
                <w:szCs w:val="18"/>
                <w:color w:val="auto"/>
              </w:rPr>
              <w:t>August 13, 2021</w:t>
            </w:r>
          </w:p>
        </w:tc>
        <w:tc>
          <w:tcPr>
            <w:tcW w:w="2400" w:type="dxa"/>
            <w:vAlign w:val="bottom"/>
          </w:tcPr>
          <w:p>
            <w:pPr>
              <w:ind w:left="1980"/>
              <w:spacing w:after="0"/>
              <w:rPr>
                <w:sz w:val="20"/>
                <w:szCs w:val="20"/>
                <w:color w:val="auto"/>
              </w:rPr>
            </w:pPr>
            <w:r>
              <w:rPr>
                <w:rFonts w:ascii="Arial" w:cs="Arial" w:eastAsia="Arial" w:hAnsi="Arial"/>
                <w:sz w:val="18"/>
                <w:szCs w:val="18"/>
                <w:color w:val="auto"/>
              </w:rPr>
              <w:t>By:</w:t>
            </w:r>
          </w:p>
        </w:tc>
        <w:tc>
          <w:tcPr>
            <w:tcW w:w="5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210"/>
        </w:trPr>
        <w:tc>
          <w:tcPr>
            <w:tcW w:w="52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R. LaDuane Clifton, CPA</w:t>
            </w:r>
          </w:p>
        </w:tc>
      </w:tr>
    </w:tbl>
    <w:p>
      <w:pPr>
        <w:ind w:left="6240"/>
        <w:spacing w:after="0"/>
        <w:rPr>
          <w:sz w:val="20"/>
          <w:szCs w:val="20"/>
          <w:color w:val="auto"/>
        </w:rPr>
      </w:pPr>
      <w:r>
        <w:rPr>
          <w:rFonts w:ascii="Arial" w:cs="Arial" w:eastAsia="Arial" w:hAnsi="Arial"/>
          <w:sz w:val="18"/>
          <w:szCs w:val="18"/>
          <w:color w:val="auto"/>
        </w:rPr>
        <w:t>Chief Financial Officer, Secretary and Treasurer</w:t>
      </w:r>
    </w:p>
    <w:p>
      <w:pPr>
        <w:spacing w:after="0" w:line="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10.1</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AMENDMENT NO. 1 TO COLLABORATION AND LICENSE AGREEMENT</w:t>
      </w:r>
    </w:p>
    <w:p>
      <w:pPr>
        <w:spacing w:after="0" w:line="227" w:lineRule="exact"/>
        <w:rPr>
          <w:sz w:val="20"/>
          <w:szCs w:val="20"/>
          <w:color w:val="auto"/>
        </w:rPr>
      </w:pPr>
    </w:p>
    <w:p>
      <w:pPr>
        <w:jc w:val="both"/>
        <w:ind w:firstLine="484"/>
        <w:spacing w:after="0" w:line="284" w:lineRule="auto"/>
        <w:rPr>
          <w:sz w:val="20"/>
          <w:szCs w:val="20"/>
          <w:color w:val="auto"/>
        </w:rPr>
      </w:pPr>
      <w:r>
        <w:rPr>
          <w:rFonts w:ascii="Arial" w:cs="Arial" w:eastAsia="Arial" w:hAnsi="Arial"/>
          <w:sz w:val="17"/>
          <w:szCs w:val="17"/>
          <w:color w:val="auto"/>
        </w:rPr>
        <w:t>This Amendment No. 1 to the Collaboration and License Agreement (“Amendment”) is made and entered into effective as of April 8, 2021 (“Effective Date of the Amendment”), by and between KemPharm, Inc. (“KemPharm”) and Commave Therapeutics SA (formerly known as Boston Pharmaceuticals Holdings SA) (“Company”). KemPharm and Company may be referred to herein individually as a “Party” or, collectively, as “Parties”.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7"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WHEREAS, KemPharm and Company are Parties to Collaboration and License Agreement by and between KemPharm, Inc. and Company dated as of September 3, 2019 (“License Agreement”); and</w:t>
      </w:r>
    </w:p>
    <w:p>
      <w:pPr>
        <w:spacing w:after="0" w:line="171"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WHEREAS, the Parties desire to amend the License Agreement in accordance with and subject to the provisions of this Amendment to accomplish their shared commercial goals;</w:t>
      </w:r>
    </w:p>
    <w:p>
      <w:pPr>
        <w:spacing w:after="0" w:line="171"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NOW, THEREFORE, in consideration of the foregoing and the covenants and promises contained in this Amendment and in accordance with and subject to the terms and conditions specified below the Parties agree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of the License Agreement</w:t>
      </w:r>
    </w:p>
    <w:p>
      <w:pPr>
        <w:spacing w:after="0" w:line="227" w:lineRule="exact"/>
        <w:rPr>
          <w:sz w:val="20"/>
          <w:szCs w:val="20"/>
          <w:color w:val="auto"/>
        </w:rPr>
      </w:pPr>
    </w:p>
    <w:p>
      <w:pPr>
        <w:jc w:val="both"/>
        <w:ind w:firstLine="484"/>
        <w:spacing w:after="0" w:line="275" w:lineRule="auto"/>
        <w:rPr>
          <w:sz w:val="20"/>
          <w:szCs w:val="20"/>
          <w:color w:val="auto"/>
        </w:rPr>
      </w:pPr>
      <w:r>
        <w:rPr>
          <w:rFonts w:ascii="Arial" w:cs="Arial" w:eastAsia="Arial" w:hAnsi="Arial"/>
          <w:sz w:val="18"/>
          <w:szCs w:val="18"/>
          <w:color w:val="auto"/>
        </w:rPr>
        <w:t>The Parties hereby agree to amend the License Agreement as of the Effective Date of the Amendment as provided below. Capitalized terms used in this Amendment that are not otherwise defined herein shall have the meanings provided in the License Agreement.</w:t>
      </w:r>
    </w:p>
    <w:p>
      <w:pPr>
        <w:spacing w:after="0" w:line="171" w:lineRule="exact"/>
        <w:rPr>
          <w:sz w:val="20"/>
          <w:szCs w:val="20"/>
          <w:color w:val="auto"/>
        </w:rPr>
      </w:pPr>
    </w:p>
    <w:p>
      <w:pPr>
        <w:ind w:firstLine="7"/>
        <w:spacing w:after="0" w:line="275" w:lineRule="auto"/>
        <w:tabs>
          <w:tab w:leader="none" w:pos="591"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References to the Agreement</w:t>
      </w:r>
      <w:r>
        <w:rPr>
          <w:rFonts w:ascii="Arial" w:cs="Arial" w:eastAsia="Arial" w:hAnsi="Arial"/>
          <w:sz w:val="18"/>
          <w:szCs w:val="18"/>
          <w:color w:val="auto"/>
        </w:rPr>
        <w:t>. All references to the “Agreement” contained in any Section or subsection of the License Agreement shall mean “the Agreement (as amended)”.</w:t>
      </w:r>
    </w:p>
    <w:p>
      <w:pPr>
        <w:spacing w:after="0" w:line="170" w:lineRule="exact"/>
        <w:rPr>
          <w:rFonts w:ascii="Arial" w:cs="Arial" w:eastAsia="Arial" w:hAnsi="Arial"/>
          <w:sz w:val="18"/>
          <w:szCs w:val="18"/>
          <w:color w:val="auto"/>
        </w:rPr>
      </w:pPr>
    </w:p>
    <w:p>
      <w:pPr>
        <w:jc w:val="both"/>
        <w:ind w:firstLine="7"/>
        <w:spacing w:after="0" w:line="258" w:lineRule="auto"/>
        <w:tabs>
          <w:tab w:leader="none" w:pos="75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Incorporation of the Agreement</w:t>
      </w:r>
      <w:r>
        <w:rPr>
          <w:rFonts w:ascii="Arial" w:cs="Arial" w:eastAsia="Arial" w:hAnsi="Arial"/>
          <w:sz w:val="18"/>
          <w:szCs w:val="18"/>
          <w:color w:val="auto"/>
        </w:rPr>
        <w:t>. The License Agreement, to the extent not inconsistent with this Amendment, is incorporated herein by this reference as though the same was set forth in its entirety. To the extent any terms and provisions of the Agreement are inconsistent with the amendments as set forth herein below, such terms and provisions shall be deemed superseded hereby. Except as specifically set forth herein, the License Agreement shall remain in full force and effect and its provisions shall be binding on the Parties thereto.</w:t>
      </w:r>
    </w:p>
    <w:p>
      <w:pPr>
        <w:spacing w:after="0" w:line="184" w:lineRule="exact"/>
        <w:rPr>
          <w:rFonts w:ascii="Arial" w:cs="Arial" w:eastAsia="Arial" w:hAnsi="Arial"/>
          <w:sz w:val="18"/>
          <w:szCs w:val="18"/>
          <w:color w:val="auto"/>
        </w:rPr>
      </w:pPr>
    </w:p>
    <w:p>
      <w:pPr>
        <w:ind w:right="260" w:firstLine="7"/>
        <w:spacing w:after="0" w:line="275" w:lineRule="auto"/>
        <w:tabs>
          <w:tab w:leader="none" w:pos="537"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Amendment of Section 8.3</w:t>
      </w:r>
      <w:r>
        <w:rPr>
          <w:rFonts w:ascii="Arial" w:cs="Arial" w:eastAsia="Arial" w:hAnsi="Arial"/>
          <w:sz w:val="18"/>
          <w:szCs w:val="18"/>
          <w:color w:val="auto"/>
        </w:rPr>
        <w:t xml:space="preserve"> – </w:t>
      </w:r>
      <w:r>
        <w:rPr>
          <w:rFonts w:ascii="Arial" w:cs="Arial" w:eastAsia="Arial" w:hAnsi="Arial"/>
          <w:sz w:val="18"/>
          <w:szCs w:val="18"/>
          <w:u w:val="single" w:color="auto"/>
          <w:color w:val="auto"/>
        </w:rPr>
        <w:t>Approval Milestones</w:t>
      </w:r>
      <w:r>
        <w:rPr>
          <w:rFonts w:ascii="Arial" w:cs="Arial" w:eastAsia="Arial" w:hAnsi="Arial"/>
          <w:sz w:val="18"/>
          <w:szCs w:val="18"/>
          <w:color w:val="auto"/>
        </w:rPr>
        <w:t>. The table setting forth each approval milestone event and milestone payment in Section 8.3 of the License Agreement is hereby deleted and replaced in its entirety by the table in the form set forth below:</w:t>
      </w:r>
    </w:p>
    <w:p>
      <w:pPr>
        <w:spacing w:after="0" w:line="162" w:lineRule="exact"/>
        <w:rPr>
          <w:sz w:val="20"/>
          <w:szCs w:val="20"/>
          <w:color w:val="auto"/>
        </w:rPr>
      </w:pPr>
    </w:p>
    <w:tbl>
      <w:tblPr>
        <w:tblLayout w:type="fixed"/>
        <w:tblInd w:w="1150" w:type="dxa"/>
        <w:tblCellMar>
          <w:top w:w="0" w:type="dxa"/>
          <w:left w:w="0" w:type="dxa"/>
          <w:bottom w:w="0" w:type="dxa"/>
          <w:right w:w="0" w:type="dxa"/>
        </w:tblCellMar>
      </w:tblPr>
      <w:tr>
        <w:trPr>
          <w:trHeight w:val="242"/>
        </w:trPr>
        <w:tc>
          <w:tcPr>
            <w:tcW w:w="560" w:type="dxa"/>
            <w:vAlign w:val="bottom"/>
            <w:tcBorders>
              <w:top w:val="single" w:sz="8" w:color="auto"/>
              <w:left w:val="single" w:sz="8" w:color="auto"/>
              <w:bottom w:val="single" w:sz="8" w:color="auto"/>
            </w:tcBorders>
            <w:shd w:val="clear" w:color="auto" w:fill="66FFFF"/>
          </w:tcPr>
          <w:p>
            <w:pPr>
              <w:spacing w:after="0"/>
              <w:rPr>
                <w:sz w:val="21"/>
                <w:szCs w:val="21"/>
                <w:color w:val="auto"/>
              </w:rPr>
            </w:pPr>
          </w:p>
        </w:tc>
        <w:tc>
          <w:tcPr>
            <w:tcW w:w="640" w:type="dxa"/>
            <w:vAlign w:val="bottom"/>
            <w:tcBorders>
              <w:top w:val="single" w:sz="8" w:color="auto"/>
              <w:bottom w:val="single" w:sz="8" w:color="auto"/>
            </w:tcBorders>
            <w:shd w:val="clear" w:color="auto" w:fill="66FFFF"/>
          </w:tcPr>
          <w:p>
            <w:pPr>
              <w:spacing w:after="0"/>
              <w:rPr>
                <w:sz w:val="21"/>
                <w:szCs w:val="21"/>
                <w:color w:val="auto"/>
              </w:rPr>
            </w:pPr>
          </w:p>
        </w:tc>
        <w:tc>
          <w:tcPr>
            <w:tcW w:w="5160" w:type="dxa"/>
            <w:vAlign w:val="bottom"/>
            <w:tcBorders>
              <w:top w:val="single" w:sz="8" w:color="auto"/>
              <w:bottom w:val="single" w:sz="8" w:color="auto"/>
              <w:right w:val="single" w:sz="8" w:color="auto"/>
            </w:tcBorders>
            <w:shd w:val="clear" w:color="auto" w:fill="66FFFF"/>
          </w:tcPr>
          <w:p>
            <w:pPr>
              <w:ind w:left="960"/>
              <w:spacing w:after="0"/>
              <w:rPr>
                <w:sz w:val="20"/>
                <w:szCs w:val="20"/>
                <w:color w:val="auto"/>
              </w:rPr>
            </w:pPr>
            <w:r>
              <w:rPr>
                <w:rFonts w:ascii="Arial" w:cs="Arial" w:eastAsia="Arial" w:hAnsi="Arial"/>
                <w:sz w:val="18"/>
                <w:szCs w:val="18"/>
                <w:b w:val="1"/>
                <w:bCs w:val="1"/>
                <w:color w:val="auto"/>
              </w:rPr>
              <w:t>Approval Milestone Event</w:t>
            </w:r>
          </w:p>
        </w:tc>
        <w:tc>
          <w:tcPr>
            <w:tcW w:w="2620" w:type="dxa"/>
            <w:vAlign w:val="bottom"/>
            <w:tcBorders>
              <w:top w:val="single" w:sz="8" w:color="auto"/>
              <w:bottom w:val="single" w:sz="8" w:color="auto"/>
              <w:right w:val="single" w:sz="8" w:color="auto"/>
            </w:tcBorders>
            <w:shd w:val="clear" w:color="auto" w:fill="66FFFF"/>
          </w:tcPr>
          <w:p>
            <w:pPr>
              <w:ind w:left="560"/>
              <w:spacing w:after="0"/>
              <w:rPr>
                <w:sz w:val="20"/>
                <w:szCs w:val="20"/>
                <w:color w:val="auto"/>
              </w:rPr>
            </w:pPr>
            <w:r>
              <w:rPr>
                <w:rFonts w:ascii="Arial" w:cs="Arial" w:eastAsia="Arial" w:hAnsi="Arial"/>
                <w:sz w:val="18"/>
                <w:szCs w:val="18"/>
                <w:b w:val="1"/>
                <w:bCs w:val="1"/>
                <w:color w:val="auto"/>
              </w:rPr>
              <w:t>Milestone Payment</w:t>
            </w: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1)</w:t>
            </w:r>
          </w:p>
        </w:tc>
        <w:tc>
          <w:tcPr>
            <w:tcW w:w="5800" w:type="dxa"/>
            <w:vAlign w:val="bottom"/>
            <w:tcBorders>
              <w:right w:val="single" w:sz="8" w:color="auto"/>
            </w:tcBorders>
            <w:gridSpan w:val="2"/>
          </w:tcPr>
          <w:p>
            <w:pPr>
              <w:ind w:left="320"/>
              <w:spacing w:after="0" w:line="197" w:lineRule="exact"/>
              <w:rPr>
                <w:sz w:val="20"/>
                <w:szCs w:val="20"/>
                <w:color w:val="auto"/>
              </w:rPr>
            </w:pPr>
            <w:r>
              <w:rPr>
                <w:rFonts w:ascii="Arial" w:cs="Arial" w:eastAsia="Arial" w:hAnsi="Arial"/>
                <w:sz w:val="18"/>
                <w:szCs w:val="18"/>
                <w:color w:val="auto"/>
              </w:rPr>
              <w:t>FDA acceptance of NDA submission for KP415</w:t>
            </w:r>
          </w:p>
        </w:tc>
        <w:tc>
          <w:tcPr>
            <w:tcW w:w="262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Five million U.S. Dollars</w:t>
            </w:r>
          </w:p>
        </w:tc>
      </w:tr>
      <w:tr>
        <w:trPr>
          <w:trHeight w:val="239"/>
        </w:trPr>
        <w:tc>
          <w:tcPr>
            <w:tcW w:w="5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(US$5,000,000)</w:t>
            </w: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2)</w:t>
            </w:r>
          </w:p>
        </w:tc>
        <w:tc>
          <w:tcPr>
            <w:tcW w:w="5800" w:type="dxa"/>
            <w:vAlign w:val="bottom"/>
            <w:tcBorders>
              <w:right w:val="single" w:sz="8" w:color="auto"/>
            </w:tcBorders>
            <w:gridSpan w:val="2"/>
          </w:tcPr>
          <w:p>
            <w:pPr>
              <w:ind w:left="320"/>
              <w:spacing w:after="0" w:line="197" w:lineRule="exact"/>
              <w:rPr>
                <w:sz w:val="20"/>
                <w:szCs w:val="20"/>
                <w:color w:val="auto"/>
              </w:rPr>
            </w:pPr>
            <w:r>
              <w:rPr>
                <w:rFonts w:ascii="Arial" w:cs="Arial" w:eastAsia="Arial" w:hAnsi="Arial"/>
                <w:sz w:val="18"/>
                <w:szCs w:val="18"/>
                <w:color w:val="auto"/>
              </w:rPr>
              <w:t>Regulatory Approval of KP415 in the U.S. by July 1, 2021</w:t>
            </w:r>
          </w:p>
        </w:tc>
        <w:tc>
          <w:tcPr>
            <w:tcW w:w="262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Ten million U.S. Dollars</w:t>
            </w: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(US$10,000,000), due five (5)</w:t>
            </w: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Borders>
              <w:right w:val="single" w:sz="8" w:color="auto"/>
            </w:tcBorders>
          </w:tcPr>
          <w:p>
            <w:pPr>
              <w:spacing w:after="0"/>
              <w:rPr>
                <w:sz w:val="18"/>
                <w:szCs w:val="18"/>
                <w:color w:val="auto"/>
              </w:rPr>
            </w:pP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calendar days after the Effective</w:t>
            </w:r>
          </w:p>
        </w:tc>
      </w:tr>
      <w:tr>
        <w:trPr>
          <w:trHeight w:val="239"/>
        </w:trPr>
        <w:tc>
          <w:tcPr>
            <w:tcW w:w="56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160" w:type="dxa"/>
            <w:vAlign w:val="bottom"/>
            <w:tcBorders>
              <w:bottom w:val="single" w:sz="8" w:color="auto"/>
              <w:right w:val="single" w:sz="8" w:color="auto"/>
            </w:tcBorders>
          </w:tcPr>
          <w:p>
            <w:pPr>
              <w:spacing w:after="0"/>
              <w:rPr>
                <w:sz w:val="20"/>
                <w:szCs w:val="20"/>
                <w:color w:val="auto"/>
              </w:rPr>
            </w:pPr>
          </w:p>
        </w:tc>
        <w:tc>
          <w:tcPr>
            <w:tcW w:w="26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Date of the Amendment</w:t>
            </w: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3)</w:t>
            </w:r>
          </w:p>
        </w:tc>
        <w:tc>
          <w:tcPr>
            <w:tcW w:w="5800" w:type="dxa"/>
            <w:vAlign w:val="bottom"/>
            <w:tcBorders>
              <w:right w:val="single" w:sz="8" w:color="auto"/>
            </w:tcBorders>
            <w:gridSpan w:val="2"/>
          </w:tcPr>
          <w:p>
            <w:pPr>
              <w:ind w:left="320"/>
              <w:spacing w:after="0" w:line="197" w:lineRule="exact"/>
              <w:rPr>
                <w:sz w:val="20"/>
                <w:szCs w:val="20"/>
                <w:color w:val="auto"/>
              </w:rPr>
            </w:pPr>
            <w:r>
              <w:rPr>
                <w:rFonts w:ascii="Arial" w:cs="Arial" w:eastAsia="Arial" w:hAnsi="Arial"/>
                <w:sz w:val="18"/>
                <w:szCs w:val="18"/>
                <w:color w:val="auto"/>
                <w:w w:val="97"/>
              </w:rPr>
              <w:t>Regulatory Approval of KP415 in the U.S. with a label approved by the</w:t>
            </w:r>
          </w:p>
        </w:tc>
        <w:tc>
          <w:tcPr>
            <w:tcW w:w="2620" w:type="dxa"/>
            <w:vAlign w:val="bottom"/>
            <w:tcBorders>
              <w:right w:val="single" w:sz="8" w:color="auto"/>
            </w:tcBorders>
          </w:tcPr>
          <w:p>
            <w:pPr>
              <w:spacing w:after="0"/>
              <w:rPr>
                <w:sz w:val="17"/>
                <w:szCs w:val="17"/>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3"/>
              </w:rPr>
              <w:t>FDA that includes 30-minute onset and 13-hour duration (the “30/13 Label”):</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a.</w:t>
            </w: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If Regulatory Approval of KP415 in the U.S. with the 30/13 Label</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 received by [***]; or</w:t>
            </w:r>
          </w:p>
        </w:tc>
        <w:tc>
          <w:tcPr>
            <w:tcW w:w="2620" w:type="dxa"/>
            <w:vAlign w:val="bottom"/>
            <w:tcBorders>
              <w:right w:val="single" w:sz="8" w:color="auto"/>
            </w:tcBorders>
          </w:tcPr>
          <w:p>
            <w:pPr>
              <w:spacing w:after="0"/>
              <w:rPr>
                <w:sz w:val="18"/>
                <w:szCs w:val="18"/>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ind w:left="420"/>
              <w:spacing w:after="0"/>
              <w:rPr>
                <w:sz w:val="20"/>
                <w:szCs w:val="20"/>
                <w:color w:val="auto"/>
              </w:rPr>
            </w:pPr>
            <w:r>
              <w:rPr>
                <w:rFonts w:ascii="Arial" w:cs="Arial" w:eastAsia="Arial" w:hAnsi="Arial"/>
                <w:sz w:val="18"/>
                <w:szCs w:val="18"/>
                <w:color w:val="auto"/>
              </w:rPr>
              <w:t>b.</w:t>
            </w:r>
          </w:p>
        </w:tc>
        <w:tc>
          <w:tcPr>
            <w:tcW w:w="5160" w:type="dxa"/>
            <w:vAlign w:val="bottom"/>
            <w:tcBorders>
              <w:right w:val="single" w:sz="8" w:color="auto"/>
            </w:tcBorders>
          </w:tcPr>
          <w:p>
            <w:pPr>
              <w:ind w:left="300"/>
              <w:spacing w:after="0"/>
              <w:rPr>
                <w:sz w:val="20"/>
                <w:szCs w:val="20"/>
                <w:color w:val="auto"/>
              </w:rPr>
            </w:pPr>
            <w:r>
              <w:rPr>
                <w:rFonts w:ascii="Arial" w:cs="Arial" w:eastAsia="Arial" w:hAnsi="Arial"/>
                <w:sz w:val="18"/>
                <w:szCs w:val="18"/>
                <w:color w:val="auto"/>
                <w:w w:val="94"/>
              </w:rPr>
              <w:t>If Regulatory Approval of KP415 in the U.S. with the 30/13 Label</w:t>
            </w:r>
          </w:p>
        </w:tc>
        <w:tc>
          <w:tcPr>
            <w:tcW w:w="2620" w:type="dxa"/>
            <w:vAlign w:val="bottom"/>
            <w:tcBorders>
              <w:right w:val="single" w:sz="8" w:color="auto"/>
            </w:tcBorders>
          </w:tcPr>
          <w:p>
            <w:pPr>
              <w:spacing w:after="0"/>
              <w:rPr>
                <w:sz w:val="18"/>
                <w:szCs w:val="18"/>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is not achieved by [***], but the 30/13 Label is included in a</w:t>
            </w:r>
          </w:p>
        </w:tc>
        <w:tc>
          <w:tcPr>
            <w:tcW w:w="2620" w:type="dxa"/>
            <w:vAlign w:val="bottom"/>
            <w:tcBorders>
              <w:right w:val="single" w:sz="8" w:color="auto"/>
            </w:tcBorders>
          </w:tcPr>
          <w:p>
            <w:pPr>
              <w:spacing w:after="0"/>
              <w:rPr>
                <w:sz w:val="18"/>
                <w:szCs w:val="18"/>
                <w:color w:val="auto"/>
              </w:rPr>
            </w:pPr>
          </w:p>
        </w:tc>
      </w:tr>
      <w:tr>
        <w:trPr>
          <w:trHeight w:val="215"/>
        </w:trPr>
        <w:tc>
          <w:tcPr>
            <w:tcW w:w="560" w:type="dxa"/>
            <w:vAlign w:val="bottom"/>
            <w:tcBorders>
              <w:left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5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w w:val="94"/>
              </w:rPr>
              <w:t>subsequent Regulatory Approval for KP415 in the U.S. received by</w:t>
            </w:r>
          </w:p>
        </w:tc>
        <w:tc>
          <w:tcPr>
            <w:tcW w:w="2620" w:type="dxa"/>
            <w:vAlign w:val="bottom"/>
            <w:tcBorders>
              <w:right w:val="single" w:sz="8" w:color="auto"/>
            </w:tcBorders>
          </w:tcPr>
          <w:p>
            <w:pPr>
              <w:spacing w:after="0"/>
              <w:rPr>
                <w:sz w:val="18"/>
                <w:szCs w:val="18"/>
                <w:color w:val="auto"/>
              </w:rPr>
            </w:pPr>
          </w:p>
        </w:tc>
      </w:tr>
      <w:tr>
        <w:trPr>
          <w:trHeight w:val="230"/>
        </w:trPr>
        <w:tc>
          <w:tcPr>
            <w:tcW w:w="560" w:type="dxa"/>
            <w:vAlign w:val="bottom"/>
            <w:tcBorders>
              <w:left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5160" w:type="dxa"/>
            <w:vAlign w:val="bottom"/>
            <w:tcBorders>
              <w:right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gridSpan w:val="2"/>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4)</w:t>
            </w:r>
          </w:p>
        </w:tc>
        <w:tc>
          <w:tcPr>
            <w:tcW w:w="5800" w:type="dxa"/>
            <w:vAlign w:val="bottom"/>
            <w:tcBorders>
              <w:right w:val="single" w:sz="8" w:color="auto"/>
            </w:tcBorders>
            <w:gridSpan w:val="2"/>
          </w:tcPr>
          <w:p>
            <w:pPr>
              <w:ind w:left="320"/>
              <w:spacing w:after="0" w:line="197" w:lineRule="exact"/>
              <w:rPr>
                <w:sz w:val="20"/>
                <w:szCs w:val="20"/>
                <w:color w:val="auto"/>
              </w:rPr>
            </w:pPr>
            <w:r>
              <w:rPr>
                <w:rFonts w:ascii="Arial" w:cs="Arial" w:eastAsia="Arial" w:hAnsi="Arial"/>
                <w:sz w:val="18"/>
                <w:szCs w:val="18"/>
                <w:color w:val="auto"/>
                <w:w w:val="96"/>
              </w:rPr>
              <w:t>Scheduling determination of the Compound serdexmethylphenidate, or</w:t>
            </w:r>
          </w:p>
        </w:tc>
        <w:tc>
          <w:tcPr>
            <w:tcW w:w="2620" w:type="dxa"/>
            <w:vAlign w:val="bottom"/>
            <w:tcBorders>
              <w:right w:val="single" w:sz="8" w:color="auto"/>
            </w:tcBorders>
          </w:tcPr>
          <w:p>
            <w:pPr>
              <w:spacing w:after="0" w:line="197" w:lineRule="exact"/>
              <w:rPr>
                <w:sz w:val="20"/>
                <w:szCs w:val="20"/>
                <w:color w:val="auto"/>
              </w:rPr>
            </w:pPr>
            <w:r>
              <w:rPr>
                <w:rFonts w:ascii="Arial" w:cs="Arial" w:eastAsia="Arial" w:hAnsi="Arial"/>
                <w:sz w:val="18"/>
                <w:szCs w:val="18"/>
                <w:color w:val="auto"/>
              </w:rPr>
              <w:t>[***]</w:t>
            </w:r>
          </w:p>
        </w:tc>
      </w:tr>
      <w:tr>
        <w:trPr>
          <w:trHeight w:val="215"/>
        </w:trPr>
        <w:tc>
          <w:tcPr>
            <w:tcW w:w="560" w:type="dxa"/>
            <w:vAlign w:val="bottom"/>
            <w:tcBorders>
              <w:left w:val="single" w:sz="8" w:color="auto"/>
            </w:tcBorders>
          </w:tcPr>
          <w:p>
            <w:pPr>
              <w:spacing w:after="0"/>
              <w:rPr>
                <w:sz w:val="18"/>
                <w:szCs w:val="18"/>
                <w:color w:val="auto"/>
              </w:rPr>
            </w:pPr>
          </w:p>
        </w:tc>
        <w:tc>
          <w:tcPr>
            <w:tcW w:w="58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SDX, by the U.S. Drug Enforcement Administration (“DEA”) following</w:t>
            </w:r>
          </w:p>
        </w:tc>
        <w:tc>
          <w:tcPr>
            <w:tcW w:w="2620" w:type="dxa"/>
            <w:vAlign w:val="bottom"/>
            <w:tcBorders>
              <w:right w:val="single" w:sz="8" w:color="auto"/>
            </w:tcBorders>
          </w:tcPr>
          <w:p>
            <w:pPr>
              <w:spacing w:after="0"/>
              <w:rPr>
                <w:sz w:val="18"/>
                <w:szCs w:val="18"/>
                <w:color w:val="auto"/>
              </w:rPr>
            </w:pP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rPr>
              <w:t>Regulatory Approval of KP415 in the U.S.</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gridSpan w:val="2"/>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230"/>
        </w:trPr>
        <w:tc>
          <w:tcPr>
            <w:tcW w:w="5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5800" w:type="dxa"/>
            <w:vAlign w:val="bottom"/>
            <w:tcBorders>
              <w:right w:val="single" w:sz="8" w:color="auto"/>
            </w:tcBorders>
            <w:gridSpan w:val="2"/>
          </w:tcPr>
          <w:p>
            <w:pPr>
              <w:ind w:left="320"/>
              <w:spacing w:after="0"/>
              <w:rPr>
                <w:sz w:val="20"/>
                <w:szCs w:val="20"/>
                <w:color w:val="auto"/>
              </w:rPr>
            </w:pPr>
            <w:r>
              <w:rPr>
                <w:rFonts w:ascii="Arial" w:cs="Arial" w:eastAsia="Arial" w:hAnsi="Arial"/>
                <w:sz w:val="18"/>
                <w:szCs w:val="18"/>
                <w:color w:val="auto"/>
              </w:rPr>
              <w:t>Regulatory Approval of KP484 in the U.S. by the FDA</w:t>
            </w:r>
          </w:p>
        </w:tc>
        <w:tc>
          <w:tcPr>
            <w:tcW w:w="26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w:t>
            </w:r>
          </w:p>
        </w:tc>
      </w:tr>
      <w:tr>
        <w:trPr>
          <w:trHeight w:val="194"/>
        </w:trPr>
        <w:tc>
          <w:tcPr>
            <w:tcW w:w="560" w:type="dxa"/>
            <w:vAlign w:val="bottom"/>
            <w:tcBorders>
              <w:left w:val="single" w:sz="8" w:color="auto"/>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16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bl>
    <w:p>
      <w:pPr>
        <w:spacing w:after="0" w:line="197" w:lineRule="exact"/>
        <w:rPr>
          <w:sz w:val="20"/>
          <w:szCs w:val="20"/>
          <w:color w:val="auto"/>
        </w:rPr>
      </w:pPr>
    </w:p>
    <w:p>
      <w:pPr>
        <w:jc w:val="center"/>
        <w:ind w:left="460" w:right="120"/>
        <w:spacing w:after="0" w:line="27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3295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ind w:right="160" w:firstLine="7"/>
        <w:spacing w:after="0" w:line="275" w:lineRule="auto"/>
        <w:tabs>
          <w:tab w:leader="none" w:pos="537"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Amendment of Section 8.4</w:t>
      </w:r>
      <w:r>
        <w:rPr>
          <w:rFonts w:ascii="Arial" w:cs="Arial" w:eastAsia="Arial" w:hAnsi="Arial"/>
          <w:sz w:val="18"/>
          <w:szCs w:val="18"/>
          <w:color w:val="auto"/>
        </w:rPr>
        <w:t xml:space="preserve"> – </w:t>
      </w:r>
      <w:r>
        <w:rPr>
          <w:rFonts w:ascii="Arial" w:cs="Arial" w:eastAsia="Arial" w:hAnsi="Arial"/>
          <w:sz w:val="18"/>
          <w:szCs w:val="18"/>
          <w:u w:val="single" w:color="auto"/>
          <w:color w:val="auto"/>
        </w:rPr>
        <w:t>Sales Milestone Payments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table setting forth each sales milestone event and milestone payment in Section 8.4 of the License Agreement is hereby deleted and replaced in its entirety by the table in the form set forth below:</w:t>
      </w:r>
    </w:p>
    <w:p>
      <w:pPr>
        <w:spacing w:after="0" w:line="162" w:lineRule="exact"/>
        <w:rPr>
          <w:sz w:val="20"/>
          <w:szCs w:val="20"/>
          <w:color w:val="auto"/>
        </w:rPr>
      </w:pPr>
    </w:p>
    <w:tbl>
      <w:tblPr>
        <w:tblLayout w:type="fixed"/>
        <w:tblInd w:w="1150" w:type="dxa"/>
        <w:tblCellMar>
          <w:top w:w="0" w:type="dxa"/>
          <w:left w:w="0" w:type="dxa"/>
          <w:bottom w:w="0" w:type="dxa"/>
          <w:right w:w="0" w:type="dxa"/>
        </w:tblCellMar>
      </w:tblPr>
      <w:tr>
        <w:trPr>
          <w:trHeight w:val="242"/>
        </w:trPr>
        <w:tc>
          <w:tcPr>
            <w:tcW w:w="680" w:type="dxa"/>
            <w:vAlign w:val="bottom"/>
            <w:tcBorders>
              <w:top w:val="single" w:sz="8" w:color="auto"/>
              <w:left w:val="single" w:sz="8" w:color="auto"/>
              <w:bottom w:val="single" w:sz="8" w:color="auto"/>
            </w:tcBorders>
            <w:shd w:val="clear" w:color="auto" w:fill="66FFFF"/>
          </w:tcPr>
          <w:p>
            <w:pPr>
              <w:spacing w:after="0"/>
              <w:rPr>
                <w:sz w:val="21"/>
                <w:szCs w:val="21"/>
                <w:color w:val="auto"/>
              </w:rPr>
            </w:pPr>
          </w:p>
        </w:tc>
        <w:tc>
          <w:tcPr>
            <w:tcW w:w="5680" w:type="dxa"/>
            <w:vAlign w:val="bottom"/>
            <w:tcBorders>
              <w:top w:val="single" w:sz="8" w:color="auto"/>
              <w:bottom w:val="single" w:sz="8" w:color="auto"/>
              <w:right w:val="single" w:sz="8" w:color="auto"/>
            </w:tcBorders>
            <w:shd w:val="clear" w:color="auto" w:fill="66FFFF"/>
          </w:tcPr>
          <w:p>
            <w:pPr>
              <w:ind w:left="1640"/>
              <w:spacing w:after="0"/>
              <w:rPr>
                <w:sz w:val="20"/>
                <w:szCs w:val="20"/>
                <w:color w:val="auto"/>
              </w:rPr>
            </w:pPr>
            <w:r>
              <w:rPr>
                <w:rFonts w:ascii="Arial" w:cs="Arial" w:eastAsia="Arial" w:hAnsi="Arial"/>
                <w:sz w:val="18"/>
                <w:szCs w:val="18"/>
                <w:b w:val="1"/>
                <w:bCs w:val="1"/>
                <w:color w:val="auto"/>
              </w:rPr>
              <w:t>Sales Milestone Event</w:t>
            </w:r>
          </w:p>
        </w:tc>
        <w:tc>
          <w:tcPr>
            <w:tcW w:w="2620" w:type="dxa"/>
            <w:vAlign w:val="bottom"/>
            <w:tcBorders>
              <w:top w:val="single" w:sz="8" w:color="auto"/>
              <w:bottom w:val="single" w:sz="8" w:color="auto"/>
              <w:right w:val="single" w:sz="8" w:color="auto"/>
            </w:tcBorders>
            <w:shd w:val="clear" w:color="auto" w:fill="66FFFF"/>
          </w:tcPr>
          <w:p>
            <w:pPr>
              <w:jc w:val="right"/>
              <w:ind w:right="510"/>
              <w:spacing w:after="0"/>
              <w:rPr>
                <w:sz w:val="20"/>
                <w:szCs w:val="20"/>
                <w:color w:val="auto"/>
              </w:rPr>
            </w:pPr>
            <w:r>
              <w:rPr>
                <w:rFonts w:ascii="Arial" w:cs="Arial" w:eastAsia="Arial" w:hAnsi="Arial"/>
                <w:sz w:val="18"/>
                <w:szCs w:val="18"/>
                <w:b w:val="1"/>
                <w:bCs w:val="1"/>
                <w:color w:val="auto"/>
              </w:rPr>
              <w:t>Milestone Payment</w:t>
            </w: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1)</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2)</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3)</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4)</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5)</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6)</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7)</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207"/>
        </w:trPr>
        <w:tc>
          <w:tcPr>
            <w:tcW w:w="680" w:type="dxa"/>
            <w:vAlign w:val="bottom"/>
            <w:tcBorders>
              <w:left w:val="single" w:sz="8" w:color="auto"/>
              <w:bottom w:val="single" w:sz="8" w:color="auto"/>
            </w:tcBorders>
          </w:tcPr>
          <w:p>
            <w:pPr>
              <w:spacing w:after="0"/>
              <w:rPr>
                <w:sz w:val="18"/>
                <w:szCs w:val="18"/>
                <w:color w:val="auto"/>
              </w:rPr>
            </w:pPr>
          </w:p>
        </w:tc>
        <w:tc>
          <w:tcPr>
            <w:tcW w:w="568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r>
        <w:trPr>
          <w:trHeight w:val="230"/>
        </w:trPr>
        <w:tc>
          <w:tcPr>
            <w:tcW w:w="680" w:type="dxa"/>
            <w:vAlign w:val="bottom"/>
            <w:tcBorders>
              <w:left w:val="single" w:sz="8" w:color="auto"/>
            </w:tcBorders>
          </w:tcPr>
          <w:p>
            <w:pPr>
              <w:jc w:val="right"/>
              <w:ind w:right="110"/>
              <w:spacing w:after="0"/>
              <w:rPr>
                <w:sz w:val="20"/>
                <w:szCs w:val="20"/>
                <w:color w:val="auto"/>
              </w:rPr>
            </w:pPr>
            <w:r>
              <w:rPr>
                <w:rFonts w:ascii="Arial" w:cs="Arial" w:eastAsia="Arial" w:hAnsi="Arial"/>
                <w:sz w:val="18"/>
                <w:szCs w:val="18"/>
                <w:color w:val="auto"/>
              </w:rPr>
              <w:t>8)</w:t>
            </w:r>
          </w:p>
        </w:tc>
        <w:tc>
          <w:tcPr>
            <w:tcW w:w="5680" w:type="dxa"/>
            <w:vAlign w:val="bottom"/>
            <w:tcBorders>
              <w:right w:val="single" w:sz="8" w:color="auto"/>
            </w:tcBorders>
          </w:tcPr>
          <w:p>
            <w:pPr>
              <w:ind w:left="200"/>
              <w:spacing w:after="0"/>
              <w:rPr>
                <w:sz w:val="20"/>
                <w:szCs w:val="20"/>
                <w:color w:val="auto"/>
              </w:rPr>
            </w:pPr>
            <w:r>
              <w:rPr>
                <w:rFonts w:ascii="Arial" w:cs="Arial" w:eastAsia="Arial" w:hAnsi="Arial"/>
                <w:sz w:val="18"/>
                <w:szCs w:val="18"/>
                <w:color w:val="auto"/>
                <w:w w:val="94"/>
              </w:rPr>
              <w:t>Year total annual U.S. Net Sales of any Initial Product first exceeds [***].</w:t>
            </w:r>
          </w:p>
        </w:tc>
        <w:tc>
          <w:tcPr>
            <w:tcW w:w="2620" w:type="dxa"/>
            <w:vAlign w:val="bottom"/>
            <w:tcBorders>
              <w:right w:val="single" w:sz="8" w:color="auto"/>
            </w:tcBorders>
          </w:tcPr>
          <w:p>
            <w:pPr>
              <w:jc w:val="right"/>
              <w:ind w:right="2150"/>
              <w:spacing w:after="0"/>
              <w:rPr>
                <w:sz w:val="20"/>
                <w:szCs w:val="20"/>
                <w:color w:val="auto"/>
              </w:rPr>
            </w:pPr>
            <w:r>
              <w:rPr>
                <w:rFonts w:ascii="Arial" w:cs="Arial" w:eastAsia="Arial" w:hAnsi="Arial"/>
                <w:sz w:val="18"/>
                <w:szCs w:val="18"/>
                <w:color w:val="auto"/>
              </w:rPr>
              <w:t>[***]</w:t>
            </w:r>
          </w:p>
        </w:tc>
      </w:tr>
      <w:tr>
        <w:trPr>
          <w:trHeight w:val="194"/>
        </w:trPr>
        <w:tc>
          <w:tcPr>
            <w:tcW w:w="680" w:type="dxa"/>
            <w:vAlign w:val="bottom"/>
            <w:tcBorders>
              <w:left w:val="single" w:sz="8" w:color="auto"/>
              <w:bottom w:val="single" w:sz="8" w:color="auto"/>
            </w:tcBorders>
          </w:tcPr>
          <w:p>
            <w:pPr>
              <w:spacing w:after="0"/>
              <w:rPr>
                <w:sz w:val="16"/>
                <w:szCs w:val="16"/>
                <w:color w:val="auto"/>
              </w:rPr>
            </w:pPr>
          </w:p>
        </w:tc>
        <w:tc>
          <w:tcPr>
            <w:tcW w:w="5680" w:type="dxa"/>
            <w:vAlign w:val="bottom"/>
            <w:tcBorders>
              <w:bottom w:val="single" w:sz="8" w:color="auto"/>
              <w:right w:val="single" w:sz="8" w:color="auto"/>
            </w:tcBorders>
          </w:tcPr>
          <w:p>
            <w:pPr>
              <w:spacing w:after="0"/>
              <w:rPr>
                <w:sz w:val="16"/>
                <w:szCs w:val="16"/>
                <w:color w:val="auto"/>
              </w:rPr>
            </w:pPr>
          </w:p>
        </w:tc>
        <w:tc>
          <w:tcPr>
            <w:tcW w:w="2620" w:type="dxa"/>
            <w:vAlign w:val="bottom"/>
            <w:tcBorders>
              <w:bottom w:val="single" w:sz="8" w:color="auto"/>
              <w:right w:val="single" w:sz="8" w:color="auto"/>
            </w:tcBorders>
          </w:tcPr>
          <w:p>
            <w:pPr>
              <w:spacing w:after="0"/>
              <w:rPr>
                <w:sz w:val="16"/>
                <w:szCs w:val="16"/>
                <w:color w:val="auto"/>
              </w:rPr>
            </w:pPr>
          </w:p>
        </w:tc>
      </w:tr>
    </w:tbl>
    <w:p>
      <w:pPr>
        <w:spacing w:after="0" w:line="197" w:lineRule="exact"/>
        <w:rPr>
          <w:sz w:val="20"/>
          <w:szCs w:val="20"/>
          <w:color w:val="auto"/>
        </w:rPr>
      </w:pPr>
    </w:p>
    <w:p>
      <w:pPr>
        <w:ind w:firstLine="7"/>
        <w:spacing w:after="0" w:line="275" w:lineRule="auto"/>
        <w:tabs>
          <w:tab w:leader="none" w:pos="605" w:val="left"/>
        </w:tabs>
        <w:numPr>
          <w:ilvl w:val="0"/>
          <w:numId w:val="63"/>
        </w:numPr>
        <w:rPr>
          <w:rFonts w:ascii="Arial" w:cs="Arial" w:eastAsia="Arial" w:hAnsi="Arial"/>
          <w:sz w:val="18"/>
          <w:szCs w:val="18"/>
          <w:color w:val="auto"/>
        </w:rPr>
      </w:pPr>
      <w:r>
        <w:rPr>
          <w:rFonts w:ascii="Arial" w:cs="Arial" w:eastAsia="Arial" w:hAnsi="Arial"/>
          <w:sz w:val="18"/>
          <w:szCs w:val="18"/>
          <w:u w:val="single" w:color="auto"/>
          <w:color w:val="auto"/>
        </w:rPr>
        <w:t>Amendment of Section 8.4</w:t>
      </w:r>
      <w:r>
        <w:rPr>
          <w:rFonts w:ascii="Arial" w:cs="Arial" w:eastAsia="Arial" w:hAnsi="Arial"/>
          <w:sz w:val="18"/>
          <w:szCs w:val="18"/>
          <w:color w:val="auto"/>
        </w:rPr>
        <w:t xml:space="preserve"> – </w:t>
      </w:r>
      <w:r>
        <w:rPr>
          <w:rFonts w:ascii="Arial" w:cs="Arial" w:eastAsia="Arial" w:hAnsi="Arial"/>
          <w:sz w:val="18"/>
          <w:szCs w:val="18"/>
          <w:u w:val="single" w:color="auto"/>
          <w:color w:val="auto"/>
        </w:rPr>
        <w:t>Sales Milestone Payments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The last sentence of the last paragraph in Section 8.4 is hereby deleted in its entirety and replaced with the following:</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“Furthermore, the total maximum milestones payable under this Section 8.4 shall not exceed five hundred fifty million U.S. Dollars (US$550,000,000).”</w:t>
      </w:r>
    </w:p>
    <w:p>
      <w:pPr>
        <w:spacing w:after="0" w:line="246" w:lineRule="exact"/>
        <w:rPr>
          <w:sz w:val="20"/>
          <w:szCs w:val="20"/>
          <w:color w:val="auto"/>
        </w:rPr>
      </w:pPr>
    </w:p>
    <w:p>
      <w:pPr>
        <w:ind w:firstLine="7"/>
        <w:spacing w:after="0" w:line="305" w:lineRule="auto"/>
        <w:tabs>
          <w:tab w:leader="none" w:pos="564"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Section 8.5(a)</w:t>
      </w:r>
      <w:r>
        <w:rPr>
          <w:rFonts w:ascii="Arial" w:cs="Arial" w:eastAsia="Arial" w:hAnsi="Arial"/>
          <w:sz w:val="17"/>
          <w:szCs w:val="17"/>
          <w:color w:val="auto"/>
        </w:rPr>
        <w:t xml:space="preserve"> – U.S. Royalty Rate. The table setting forth each aggregate annual Net Sales of each Initial Product sold in the U.S. and Royalty rate in Section 8.5(a) of the License Agreement is hereby deleted and replaced in its entirety by the table in the form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1085850</wp:posOffset>
            </wp:positionH>
            <wp:positionV relativeFrom="paragraph">
              <wp:posOffset>-194945</wp:posOffset>
            </wp:positionV>
            <wp:extent cx="8642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7">
                      <a:extLst>
                        <a:ext uri="{28A0092B-C50C-407E-A947-70E740481C1C}"/>
                      </a:extLst>
                    </a:blip>
                    <a:srcRect/>
                    <a:stretch>
                      <a:fillRect/>
                    </a:stretch>
                  </pic:blipFill>
                  <pic:spPr bwMode="auto">
                    <a:xfrm>
                      <a:off x="0" y="0"/>
                      <a:ext cx="864235" cy="8255"/>
                    </a:xfrm>
                    <a:prstGeom prst="rect">
                      <a:avLst/>
                    </a:prstGeom>
                    <a:noFill/>
                  </pic:spPr>
                </pic:pic>
              </a:graphicData>
            </a:graphic>
          </wp:anchor>
        </w:drawing>
      </w:r>
    </w:p>
    <w:p>
      <w:pPr>
        <w:spacing w:after="0" w:line="119" w:lineRule="exact"/>
        <w:rPr>
          <w:sz w:val="20"/>
          <w:szCs w:val="20"/>
          <w:color w:val="auto"/>
        </w:rPr>
      </w:pPr>
    </w:p>
    <w:tbl>
      <w:tblPr>
        <w:tblLayout w:type="fixed"/>
        <w:tblInd w:w="1150" w:type="dxa"/>
        <w:tblCellMar>
          <w:top w:w="0" w:type="dxa"/>
          <w:left w:w="0" w:type="dxa"/>
          <w:bottom w:w="0" w:type="dxa"/>
          <w:right w:w="0" w:type="dxa"/>
        </w:tblCellMar>
      </w:tblPr>
      <w:tr>
        <w:trPr>
          <w:trHeight w:val="242"/>
        </w:trPr>
        <w:tc>
          <w:tcPr>
            <w:tcW w:w="560" w:type="dxa"/>
            <w:vAlign w:val="bottom"/>
            <w:tcBorders>
              <w:top w:val="single" w:sz="8" w:color="auto"/>
              <w:left w:val="single" w:sz="8" w:color="auto"/>
              <w:bottom w:val="single" w:sz="8" w:color="auto"/>
            </w:tcBorders>
            <w:shd w:val="clear" w:color="auto" w:fill="66FFFF"/>
          </w:tcPr>
          <w:p>
            <w:pPr>
              <w:spacing w:after="0"/>
              <w:rPr>
                <w:sz w:val="21"/>
                <w:szCs w:val="21"/>
                <w:color w:val="auto"/>
              </w:rPr>
            </w:pPr>
          </w:p>
        </w:tc>
        <w:tc>
          <w:tcPr>
            <w:tcW w:w="5800" w:type="dxa"/>
            <w:vAlign w:val="bottom"/>
            <w:tcBorders>
              <w:top w:val="single" w:sz="8" w:color="auto"/>
              <w:bottom w:val="single" w:sz="8" w:color="auto"/>
              <w:right w:val="single" w:sz="8" w:color="auto"/>
            </w:tcBorders>
            <w:shd w:val="clear" w:color="auto" w:fill="66FFFF"/>
          </w:tcPr>
          <w:p>
            <w:pPr>
              <w:ind w:left="80"/>
              <w:spacing w:after="0"/>
              <w:rPr>
                <w:sz w:val="20"/>
                <w:szCs w:val="20"/>
                <w:color w:val="auto"/>
              </w:rPr>
            </w:pPr>
            <w:r>
              <w:rPr>
                <w:rFonts w:ascii="Arial" w:cs="Arial" w:eastAsia="Arial" w:hAnsi="Arial"/>
                <w:sz w:val="18"/>
                <w:szCs w:val="18"/>
                <w:b w:val="1"/>
                <w:bCs w:val="1"/>
                <w:color w:val="auto"/>
              </w:rPr>
              <w:t>Aggregate annual Net Sales of each Initial Product sold in the U.S.</w:t>
            </w:r>
          </w:p>
        </w:tc>
        <w:tc>
          <w:tcPr>
            <w:tcW w:w="2620" w:type="dxa"/>
            <w:vAlign w:val="bottom"/>
            <w:tcBorders>
              <w:top w:val="single" w:sz="8" w:color="auto"/>
              <w:bottom w:val="single" w:sz="8" w:color="auto"/>
              <w:right w:val="single" w:sz="8" w:color="auto"/>
            </w:tcBorders>
            <w:shd w:val="clear" w:color="auto" w:fill="66FFFF"/>
          </w:tcPr>
          <w:p>
            <w:pPr>
              <w:jc w:val="center"/>
              <w:spacing w:after="0"/>
              <w:rPr>
                <w:sz w:val="20"/>
                <w:szCs w:val="20"/>
                <w:color w:val="auto"/>
              </w:rPr>
            </w:pPr>
            <w:r>
              <w:rPr>
                <w:rFonts w:ascii="Arial" w:cs="Arial" w:eastAsia="Arial" w:hAnsi="Arial"/>
                <w:sz w:val="18"/>
                <w:szCs w:val="18"/>
                <w:b w:val="1"/>
                <w:bCs w:val="1"/>
                <w:color w:val="auto"/>
                <w:w w:val="91"/>
              </w:rPr>
              <w:t>Royalty Rate</w:t>
            </w: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1)</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2)</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3)</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4)</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5)</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6)</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7)</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 and less than or equal to [***]</w:t>
            </w:r>
          </w:p>
        </w:tc>
        <w:tc>
          <w:tcPr>
            <w:tcW w:w="2620" w:type="dxa"/>
            <w:vAlign w:val="bottom"/>
            <w:tcBorders>
              <w:right w:val="single" w:sz="8" w:color="auto"/>
            </w:tcBorders>
          </w:tcPr>
          <w:p>
            <w:pPr>
              <w:spacing w:after="0"/>
              <w:rPr>
                <w:sz w:val="19"/>
                <w:szCs w:val="19"/>
                <w:color w:val="auto"/>
              </w:rPr>
            </w:pPr>
          </w:p>
        </w:tc>
      </w:tr>
      <w:tr>
        <w:trPr>
          <w:trHeight w:val="225"/>
        </w:trPr>
        <w:tc>
          <w:tcPr>
            <w:tcW w:w="560" w:type="dxa"/>
            <w:vAlign w:val="bottom"/>
            <w:tcBorders>
              <w:left w:val="single" w:sz="8" w:color="auto"/>
              <w:bottom w:val="single" w:sz="8" w:color="auto"/>
            </w:tcBorders>
          </w:tcPr>
          <w:p>
            <w:pPr>
              <w:spacing w:after="0"/>
              <w:rPr>
                <w:sz w:val="19"/>
                <w:szCs w:val="19"/>
                <w:color w:val="auto"/>
              </w:rPr>
            </w:pPr>
          </w:p>
        </w:tc>
        <w:tc>
          <w:tcPr>
            <w:tcW w:w="5800" w:type="dxa"/>
            <w:vAlign w:val="bottom"/>
            <w:tcBorders>
              <w:bottom w:val="single" w:sz="8" w:color="auto"/>
              <w:right w:val="single" w:sz="8" w:color="auto"/>
            </w:tcBorders>
          </w:tcPr>
          <w:p>
            <w:pPr>
              <w:spacing w:after="0"/>
              <w:rPr>
                <w:sz w:val="19"/>
                <w:szCs w:val="19"/>
                <w:color w:val="auto"/>
              </w:rPr>
            </w:pPr>
          </w:p>
        </w:tc>
        <w:tc>
          <w:tcPr>
            <w:tcW w:w="2620" w:type="dxa"/>
            <w:vAlign w:val="bottom"/>
            <w:tcBorders>
              <w:bottom w:val="single" w:sz="8" w:color="auto"/>
              <w:right w:val="single" w:sz="8" w:color="auto"/>
            </w:tcBorders>
          </w:tcPr>
          <w:p>
            <w:pPr>
              <w:spacing w:after="0"/>
              <w:rPr>
                <w:sz w:val="19"/>
                <w:szCs w:val="19"/>
                <w:color w:val="auto"/>
              </w:rPr>
            </w:pPr>
          </w:p>
        </w:tc>
      </w:tr>
      <w:tr>
        <w:trPr>
          <w:trHeight w:val="197"/>
        </w:trPr>
        <w:tc>
          <w:tcPr>
            <w:tcW w:w="560" w:type="dxa"/>
            <w:vAlign w:val="bottom"/>
            <w:tcBorders>
              <w:left w:val="single" w:sz="8" w:color="auto"/>
            </w:tcBorders>
          </w:tcPr>
          <w:p>
            <w:pPr>
              <w:jc w:val="right"/>
              <w:spacing w:after="0" w:line="197" w:lineRule="exact"/>
              <w:rPr>
                <w:sz w:val="20"/>
                <w:szCs w:val="20"/>
                <w:color w:val="auto"/>
              </w:rPr>
            </w:pPr>
            <w:r>
              <w:rPr>
                <w:rFonts w:ascii="Arial" w:cs="Arial" w:eastAsia="Arial" w:hAnsi="Arial"/>
                <w:sz w:val="18"/>
                <w:szCs w:val="18"/>
                <w:color w:val="auto"/>
              </w:rPr>
              <w:t>8)</w:t>
            </w:r>
          </w:p>
        </w:tc>
        <w:tc>
          <w:tcPr>
            <w:tcW w:w="5800" w:type="dxa"/>
            <w:vAlign w:val="bottom"/>
            <w:tcBorders>
              <w:right w:val="single" w:sz="8" w:color="auto"/>
            </w:tcBorders>
          </w:tcPr>
          <w:p>
            <w:pPr>
              <w:ind w:left="320"/>
              <w:spacing w:after="0" w:line="197" w:lineRule="exact"/>
              <w:rPr>
                <w:sz w:val="20"/>
                <w:szCs w:val="20"/>
                <w:color w:val="auto"/>
              </w:rPr>
            </w:pPr>
            <w:r>
              <w:rPr>
                <w:rFonts w:ascii="Arial" w:cs="Arial" w:eastAsia="Arial" w:hAnsi="Arial"/>
                <w:sz w:val="18"/>
                <w:szCs w:val="18"/>
                <w:color w:val="auto"/>
                <w:w w:val="95"/>
              </w:rPr>
              <w:t>For that portion of aggregate annual Net Sales in the U.S. per Calendar</w:t>
            </w:r>
          </w:p>
        </w:tc>
        <w:tc>
          <w:tcPr>
            <w:tcW w:w="2620" w:type="dxa"/>
            <w:vAlign w:val="bottom"/>
            <w:tcBorders>
              <w:right w:val="single" w:sz="8" w:color="auto"/>
            </w:tcBorders>
          </w:tcPr>
          <w:p>
            <w:pPr>
              <w:jc w:val="center"/>
              <w:spacing w:after="0" w:line="197" w:lineRule="exact"/>
              <w:rPr>
                <w:sz w:val="20"/>
                <w:szCs w:val="20"/>
                <w:color w:val="auto"/>
              </w:rPr>
            </w:pPr>
            <w:r>
              <w:rPr>
                <w:rFonts w:ascii="Arial" w:cs="Arial" w:eastAsia="Arial" w:hAnsi="Arial"/>
                <w:sz w:val="18"/>
                <w:szCs w:val="18"/>
                <w:color w:val="auto"/>
              </w:rPr>
              <w:t>[***]</w:t>
            </w:r>
          </w:p>
        </w:tc>
      </w:tr>
      <w:tr>
        <w:trPr>
          <w:trHeight w:val="230"/>
        </w:trPr>
        <w:tc>
          <w:tcPr>
            <w:tcW w:w="560" w:type="dxa"/>
            <w:vAlign w:val="bottom"/>
            <w:tcBorders>
              <w:left w:val="single" w:sz="8" w:color="auto"/>
            </w:tcBorders>
          </w:tcPr>
          <w:p>
            <w:pPr>
              <w:spacing w:after="0"/>
              <w:rPr>
                <w:sz w:val="19"/>
                <w:szCs w:val="19"/>
                <w:color w:val="auto"/>
              </w:rPr>
            </w:pPr>
          </w:p>
        </w:tc>
        <w:tc>
          <w:tcPr>
            <w:tcW w:w="580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Year greater than [***]</w:t>
            </w:r>
          </w:p>
        </w:tc>
        <w:tc>
          <w:tcPr>
            <w:tcW w:w="2620" w:type="dxa"/>
            <w:vAlign w:val="bottom"/>
            <w:tcBorders>
              <w:right w:val="single" w:sz="8" w:color="auto"/>
            </w:tcBorders>
          </w:tcPr>
          <w:p>
            <w:pPr>
              <w:spacing w:after="0"/>
              <w:rPr>
                <w:sz w:val="19"/>
                <w:szCs w:val="19"/>
                <w:color w:val="auto"/>
              </w:rPr>
            </w:pPr>
          </w:p>
        </w:tc>
      </w:tr>
      <w:tr>
        <w:trPr>
          <w:trHeight w:val="211"/>
        </w:trPr>
        <w:tc>
          <w:tcPr>
            <w:tcW w:w="560" w:type="dxa"/>
            <w:vAlign w:val="bottom"/>
            <w:tcBorders>
              <w:left w:val="single" w:sz="8" w:color="auto"/>
              <w:bottom w:val="single" w:sz="8" w:color="auto"/>
            </w:tcBorders>
          </w:tcPr>
          <w:p>
            <w:pPr>
              <w:spacing w:after="0"/>
              <w:rPr>
                <w:sz w:val="18"/>
                <w:szCs w:val="18"/>
                <w:color w:val="auto"/>
              </w:rPr>
            </w:pPr>
          </w:p>
        </w:tc>
        <w:tc>
          <w:tcPr>
            <w:tcW w:w="5800" w:type="dxa"/>
            <w:vAlign w:val="bottom"/>
            <w:tcBorders>
              <w:bottom w:val="single" w:sz="8" w:color="auto"/>
              <w:right w:val="single" w:sz="8" w:color="auto"/>
            </w:tcBorders>
          </w:tcPr>
          <w:p>
            <w:pPr>
              <w:spacing w:after="0"/>
              <w:rPr>
                <w:sz w:val="18"/>
                <w:szCs w:val="18"/>
                <w:color w:val="auto"/>
              </w:rPr>
            </w:pPr>
          </w:p>
        </w:tc>
        <w:tc>
          <w:tcPr>
            <w:tcW w:w="2620" w:type="dxa"/>
            <w:vAlign w:val="bottom"/>
            <w:tcBorders>
              <w:bottom w:val="single" w:sz="8" w:color="auto"/>
              <w:right w:val="single" w:sz="8" w:color="auto"/>
            </w:tcBorders>
          </w:tcPr>
          <w:p>
            <w:pPr>
              <w:spacing w:after="0"/>
              <w:rPr>
                <w:sz w:val="18"/>
                <w:szCs w:val="18"/>
                <w:color w:val="auto"/>
              </w:rPr>
            </w:pPr>
          </w:p>
        </w:tc>
      </w:tr>
    </w:tbl>
    <w:p>
      <w:pPr>
        <w:spacing w:after="0" w:line="190" w:lineRule="exact"/>
        <w:rPr>
          <w:sz w:val="20"/>
          <w:szCs w:val="20"/>
          <w:color w:val="auto"/>
        </w:rPr>
      </w:pPr>
    </w:p>
    <w:p>
      <w:pPr>
        <w:jc w:val="center"/>
        <w:ind w:left="340" w:right="20"/>
        <w:spacing w:after="0" w:line="256" w:lineRule="auto"/>
        <w:rPr>
          <w:sz w:val="20"/>
          <w:szCs w:val="20"/>
          <w:color w:val="auto"/>
        </w:rPr>
      </w:pPr>
      <w:r>
        <w:rPr>
          <w:rFonts w:ascii="Arial" w:cs="Arial" w:eastAsia="Arial" w:hAnsi="Arial"/>
          <w:sz w:val="21"/>
          <w:szCs w:val="21"/>
          <w:color w:val="auto"/>
        </w:rPr>
        <w:t>CERTAIN CONFIDENTIAL INFORMATION CONTAINED IN THIS DOCUMENT, MARKED BY [***], HAS BEEN OMITTED BECAUSE IT IS NOT MATERIAL AND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52070</wp:posOffset>
            </wp:positionV>
            <wp:extent cx="713295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2" w:name="page113"/>
    <w:bookmarkEnd w:id="112"/>
    <w:p>
      <w:pPr>
        <w:ind w:left="540" w:hanging="533"/>
        <w:spacing w:after="0"/>
        <w:tabs>
          <w:tab w:leader="none" w:pos="540"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t>Section 8.5(d)(i)</w:t>
      </w:r>
      <w:r>
        <w:rPr>
          <w:rFonts w:ascii="Arial" w:cs="Arial" w:eastAsia="Arial" w:hAnsi="Arial"/>
          <w:sz w:val="18"/>
          <w:szCs w:val="18"/>
          <w:color w:val="auto"/>
        </w:rPr>
        <w:t xml:space="preserve"> – </w:t>
      </w:r>
      <w:r>
        <w:rPr>
          <w:rFonts w:ascii="Arial" w:cs="Arial" w:eastAsia="Arial" w:hAnsi="Arial"/>
          <w:sz w:val="18"/>
          <w:szCs w:val="18"/>
          <w:u w:val="single" w:color="auto"/>
          <w:color w:val="auto"/>
        </w:rPr>
        <w:t>Royalty Payment Reduction</w:t>
      </w:r>
      <w:r>
        <w:rPr>
          <w:rFonts w:ascii="Arial" w:cs="Arial" w:eastAsia="Arial" w:hAnsi="Arial"/>
          <w:sz w:val="18"/>
          <w:szCs w:val="18"/>
          <w:b w:val="1"/>
          <w:bCs w:val="1"/>
          <w:color w:val="auto"/>
        </w:rPr>
        <w:t>.</w:t>
      </w:r>
      <w:r>
        <w:rPr>
          <w:rFonts w:ascii="Arial" w:cs="Arial" w:eastAsia="Arial" w:hAnsi="Arial"/>
          <w:sz w:val="18"/>
          <w:szCs w:val="18"/>
          <w:color w:val="auto"/>
        </w:rPr>
        <w:t xml:space="preserve"> Section 8.5(d)(i) is hereby deleted in its entirety and replaced with the following:</w:t>
      </w:r>
    </w:p>
    <w:p>
      <w:pPr>
        <w:spacing w:after="0" w:line="22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“If the first Regulatory Approval for the first approved label of KP415 by the FDA does not include the 30/13 Label, the royalty rates set forth in Section 8.5(a) shall be reduced by [***] with respect to all sales of KP415 in the U.S., except as set forth in the next sentence. If, however, subsequent to such [***] reduction in royalty rates in Section 8.5(a) the aggregate annual U.S. Net Sales of KP415 exceeds the following specified amounts in U.S. Dollars, the royalty rates used to compute Royalty on U.S. Net Sales due to KemPharm shall be adjusted as follows: (i) for the first year in which aggregate annual Net Sales in the U.S. exceeds [***], the royalty rates used to compute the Royalty shall be adjusted to [***] of the royalty rates set forth in Section 8.5(a) for each respective layer and remain thereafter during the remainder of the Royalty Term, except that (ii) for the first year in which aggregate annual Net Sales in the U.S. exceeds [***], the royalty rates used to compute the Royalty shall be adjusted to [***] of the royalty rates set forth in Section 8.5(a) for each respective layer and remain thereafter during the remainder of the Royalty Term, except that (iii) for the first year in which aggregate annual Net Sales in the U.S. exceeds [***], the royalty rates used to compute the Royalty shall be [***] of the royalty rates set forth in Section 8.5(a) for each respective layer and remain thereafter during the remainder of the Royalty Term.”</w:t>
      </w:r>
    </w:p>
    <w:p>
      <w:pPr>
        <w:spacing w:after="0" w:line="182" w:lineRule="exact"/>
        <w:rPr>
          <w:sz w:val="20"/>
          <w:szCs w:val="20"/>
          <w:color w:val="auto"/>
        </w:rPr>
      </w:pPr>
    </w:p>
    <w:p>
      <w:pPr>
        <w:ind w:left="540" w:hanging="533"/>
        <w:spacing w:after="0"/>
        <w:tabs>
          <w:tab w:leader="none" w:pos="540"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Section 1.55</w:t>
      </w:r>
      <w:r>
        <w:rPr>
          <w:rFonts w:ascii="Arial" w:cs="Arial" w:eastAsia="Arial" w:hAnsi="Arial"/>
          <w:sz w:val="18"/>
          <w:szCs w:val="18"/>
          <w:color w:val="auto"/>
        </w:rPr>
        <w:t>. Section 1.55 is hereby deleted in its entirety and replaced by the following:</w:t>
      </w:r>
    </w:p>
    <w:p>
      <w:pPr>
        <w:spacing w:after="0" w:line="21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color w:val="auto"/>
        </w:rPr>
        <w:t>“‘Regulatory Approval</w:t>
      </w:r>
      <w:r>
        <w:rPr>
          <w:rFonts w:ascii="Arial" w:cs="Arial" w:eastAsia="Arial" w:hAnsi="Arial"/>
          <w:sz w:val="18"/>
          <w:szCs w:val="18"/>
          <w:color w:val="auto"/>
        </w:rPr>
        <w:t>’ means all approvals necessary for the commercial sale of a Product in the Field in a given country or regulatory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any changes to the labeling (e.g., package insert, package labeling, or container label) of the Product in the clinical study section reflecting new or modified data.”</w:t>
      </w:r>
    </w:p>
    <w:p>
      <w:pPr>
        <w:spacing w:after="0" w:line="181" w:lineRule="exact"/>
        <w:rPr>
          <w:sz w:val="20"/>
          <w:szCs w:val="20"/>
          <w:color w:val="auto"/>
        </w:rPr>
      </w:pPr>
    </w:p>
    <w:p>
      <w:pPr>
        <w:ind w:right="2780" w:firstLine="7"/>
        <w:spacing w:after="0" w:line="498" w:lineRule="auto"/>
        <w:tabs>
          <w:tab w:leader="none" w:pos="537" w:val="left"/>
        </w:tabs>
        <w:numPr>
          <w:ilvl w:val="0"/>
          <w:numId w:val="67"/>
        </w:numPr>
        <w:rPr>
          <w:rFonts w:ascii="Arial" w:cs="Arial" w:eastAsia="Arial" w:hAnsi="Arial"/>
          <w:sz w:val="18"/>
          <w:szCs w:val="18"/>
          <w:color w:val="auto"/>
        </w:rPr>
      </w:pP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 </w:t>
      </w:r>
      <w:r>
        <w:rPr>
          <w:rFonts w:ascii="Arial" w:cs="Arial" w:eastAsia="Arial" w:hAnsi="Arial"/>
          <w:sz w:val="18"/>
          <w:szCs w:val="18"/>
          <w:u w:val="single" w:color="auto"/>
          <w:color w:val="auto"/>
        </w:rPr>
        <w:t>Right of First Refusal</w:t>
      </w:r>
      <w:r>
        <w:rPr>
          <w:rFonts w:ascii="Arial" w:cs="Arial" w:eastAsia="Arial" w:hAnsi="Arial"/>
          <w:sz w:val="18"/>
          <w:szCs w:val="18"/>
          <w:color w:val="auto"/>
        </w:rPr>
        <w:t>. Section 2.7 is hereby deleted in its entirety and replaced by the following: 2.7 Right of First Refusal.</w:t>
      </w:r>
    </w:p>
    <w:p>
      <w:pPr>
        <w:jc w:val="both"/>
        <w:ind w:left="980" w:hanging="328"/>
        <w:spacing w:after="0" w:line="267" w:lineRule="auto"/>
        <w:tabs>
          <w:tab w:leader="none" w:pos="1037" w:val="left"/>
        </w:tabs>
        <w:numPr>
          <w:ilvl w:val="1"/>
          <w:numId w:val="67"/>
        </w:numPr>
        <w:rPr>
          <w:rFonts w:ascii="Arial" w:cs="Arial" w:eastAsia="Arial" w:hAnsi="Arial"/>
          <w:sz w:val="17"/>
          <w:szCs w:val="17"/>
          <w:color w:val="auto"/>
        </w:rPr>
      </w:pPr>
      <w:r>
        <w:rPr>
          <w:rFonts w:ascii="Arial" w:cs="Arial" w:eastAsia="Arial" w:hAnsi="Arial"/>
          <w:sz w:val="17"/>
          <w:szCs w:val="17"/>
          <w:color w:val="auto"/>
        </w:rPr>
        <w:t>Right of First Refusal for Each Additional Product Containing SDX. Without limiting any of Company’s rights or KemPharm’s obligations under Section 2.6, KemPharm hereby grants Company a right of first refusal (“Right of First Refusal”) to acquire, license, and/or commercialize any Additional Product which contains SDX and for which Company does not elect the Additional Product Option (each, a “ROFR Product”), respectively, and such right of first refusal may be exercised only once for each ROFR Product and shall expire upon acceptance of the NDA for each such ROFR Product. Company’s Right of First Refusal shall be available for a period of no greater than [***] Business Days following receipt of written notice from KemPharm of the existence of a bona fide offer to acquire, license, and/or commercialize any such ROFR Product from a Third Party. KemPharm shall disclose the material terms of the offer to Company. If Company exercises its Right of First Refusal and agrees to acquire, license, and/or commercialize such ROFR Product on the same economic terms as offered by such Third Party, then the ROFR Product will be deemed a Product and licensed to Company under the terms and conditions of this Agreement, except that the Parties will amend this Agreement as appropriate to incorporate the economic terms offered by such Third Party. If Company fails to exercise its Right of First Refusal to acquire, license, and/or commercialize such ROFR Product on the same economic terms as offered by such Third Party, then, for example, KemPharm, its Affiliates, third party licensee, or purchaser may commercialize such ROFR Product.</w:t>
      </w:r>
    </w:p>
    <w:p>
      <w:pPr>
        <w:spacing w:after="0" w:line="183" w:lineRule="exact"/>
        <w:rPr>
          <w:sz w:val="20"/>
          <w:szCs w:val="20"/>
          <w:color w:val="auto"/>
        </w:rPr>
      </w:pPr>
    </w:p>
    <w:p>
      <w:pPr>
        <w:jc w:val="center"/>
        <w:ind w:left="460" w:right="120"/>
        <w:spacing w:after="0" w:line="27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3295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13" w:name="page114"/>
    <w:bookmarkEnd w:id="113"/>
    <w:p>
      <w:pPr>
        <w:jc w:val="both"/>
        <w:ind w:left="980" w:right="20" w:hanging="328"/>
        <w:spacing w:after="0" w:line="262" w:lineRule="auto"/>
        <w:tabs>
          <w:tab w:leader="none" w:pos="980" w:val="left"/>
        </w:tabs>
        <w:numPr>
          <w:ilvl w:val="2"/>
          <w:numId w:val="68"/>
        </w:numPr>
        <w:rPr>
          <w:rFonts w:ascii="Arial" w:cs="Arial" w:eastAsia="Arial" w:hAnsi="Arial"/>
          <w:sz w:val="18"/>
          <w:szCs w:val="18"/>
          <w:color w:val="auto"/>
        </w:rPr>
      </w:pPr>
      <w:r>
        <w:rPr>
          <w:rFonts w:ascii="Arial" w:cs="Arial" w:eastAsia="Arial" w:hAnsi="Arial"/>
          <w:sz w:val="18"/>
          <w:szCs w:val="18"/>
          <w:color w:val="auto"/>
        </w:rPr>
        <w:t>Extension of Additional Option Period for KP922. If Company does not exercise its Additional Product Option for KP922 following the completion of a Phase 1 proof-of-concept study for KP922 as provided under Section 2.6, the Additional Product Option Period for KP922 shall be extended and continue until its expiration upon acceptance of the NDA for KP922.</w:t>
      </w:r>
    </w:p>
    <w:p>
      <w:pPr>
        <w:spacing w:after="0" w:line="182" w:lineRule="exact"/>
        <w:rPr>
          <w:rFonts w:ascii="Arial" w:cs="Arial" w:eastAsia="Arial" w:hAnsi="Arial"/>
          <w:sz w:val="18"/>
          <w:szCs w:val="18"/>
          <w:color w:val="auto"/>
        </w:rPr>
      </w:pPr>
    </w:p>
    <w:p>
      <w:pPr>
        <w:ind w:left="640" w:hanging="633"/>
        <w:spacing w:after="0"/>
        <w:tabs>
          <w:tab w:leader="none" w:pos="640" w:val="left"/>
        </w:tabs>
        <w:numPr>
          <w:ilvl w:val="0"/>
          <w:numId w:val="69"/>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218" w:lineRule="exact"/>
        <w:rPr>
          <w:rFonts w:ascii="Arial" w:cs="Arial" w:eastAsia="Arial" w:hAnsi="Arial"/>
          <w:sz w:val="18"/>
          <w:szCs w:val="18"/>
          <w:color w:val="auto"/>
        </w:rPr>
      </w:pPr>
    </w:p>
    <w:p>
      <w:pPr>
        <w:jc w:val="both"/>
        <w:ind w:firstLine="169"/>
        <w:spacing w:after="0" w:line="312" w:lineRule="auto"/>
        <w:tabs>
          <w:tab w:leader="none" w:pos="796"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Full Force and Effect</w:t>
      </w:r>
      <w:r>
        <w:rPr>
          <w:rFonts w:ascii="Arial" w:cs="Arial" w:eastAsia="Arial" w:hAnsi="Arial"/>
          <w:sz w:val="16"/>
          <w:szCs w:val="16"/>
          <w:color w:val="auto"/>
        </w:rPr>
        <w:t>. Except as expressly amended in this Amendment, the License Agreement shall remain unchanged and continue in full</w:t>
      </w:r>
      <w:r>
        <w:rPr>
          <w:rFonts w:ascii="Arial" w:cs="Arial" w:eastAsia="Arial" w:hAnsi="Arial"/>
          <w:sz w:val="16"/>
          <w:szCs w:val="16"/>
          <w:b w:val="1"/>
          <w:bCs w:val="1"/>
          <w:color w:val="auto"/>
        </w:rPr>
        <w:t xml:space="preserve"> </w:t>
      </w:r>
      <w:r>
        <w:rPr>
          <w:rFonts w:ascii="Arial" w:cs="Arial" w:eastAsia="Arial" w:hAnsi="Arial"/>
          <w:sz w:val="16"/>
          <w:szCs w:val="16"/>
          <w:color w:val="auto"/>
        </w:rPr>
        <w:t>force and effect as provided therein. For the avoidance of doubt, nothing set forth in this Amendment shall or shall be deemed to amend, modify, or otherwise change the terms and conditions of the License Agreement in effect as of the Effective Date of the Amendment except as expressly stated herein.</w:t>
      </w:r>
    </w:p>
    <w:p>
      <w:pPr>
        <w:spacing w:after="0" w:line="142" w:lineRule="exact"/>
        <w:rPr>
          <w:rFonts w:ascii="Arial" w:cs="Arial" w:eastAsia="Arial" w:hAnsi="Arial"/>
          <w:sz w:val="16"/>
          <w:szCs w:val="16"/>
          <w:color w:val="auto"/>
        </w:rPr>
      </w:pPr>
    </w:p>
    <w:p>
      <w:pPr>
        <w:jc w:val="both"/>
        <w:ind w:firstLine="169"/>
        <w:spacing w:after="0" w:line="312" w:lineRule="auto"/>
        <w:tabs>
          <w:tab w:leader="none" w:pos="793" w:val="left"/>
        </w:tabs>
        <w:numPr>
          <w:ilvl w:val="1"/>
          <w:numId w:val="69"/>
        </w:numPr>
        <w:rPr>
          <w:rFonts w:ascii="Arial" w:cs="Arial" w:eastAsia="Arial" w:hAnsi="Arial"/>
          <w:sz w:val="16"/>
          <w:szCs w:val="16"/>
          <w:color w:val="auto"/>
        </w:rPr>
      </w:pPr>
      <w:r>
        <w:rPr>
          <w:rFonts w:ascii="Arial" w:cs="Arial" w:eastAsia="Arial" w:hAnsi="Arial"/>
          <w:sz w:val="16"/>
          <w:szCs w:val="16"/>
          <w:b w:val="1"/>
          <w:bCs w:val="1"/>
          <w:color w:val="auto"/>
        </w:rPr>
        <w:t>Entire Agreement of the Parties</w:t>
      </w:r>
      <w:r>
        <w:rPr>
          <w:rFonts w:ascii="Arial" w:cs="Arial" w:eastAsia="Arial" w:hAnsi="Arial"/>
          <w:sz w:val="16"/>
          <w:szCs w:val="16"/>
          <w:color w:val="auto"/>
        </w:rPr>
        <w:t>. This Amendment and the License Agreement constitute the complete final and exclusive understanding and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of the Parties with respect to the subject matter of the License Agreement, and supersede any and all prior or contemporaneous negotiations, correspondence, understandings, and agreements, whether oral or written, between the Parties respecting the subject matter of the License Agreement.</w:t>
      </w:r>
    </w:p>
    <w:p>
      <w:pPr>
        <w:spacing w:after="0" w:line="142" w:lineRule="exact"/>
        <w:rPr>
          <w:rFonts w:ascii="Arial" w:cs="Arial" w:eastAsia="Arial" w:hAnsi="Arial"/>
          <w:sz w:val="16"/>
          <w:szCs w:val="16"/>
          <w:color w:val="auto"/>
        </w:rPr>
      </w:pPr>
    </w:p>
    <w:p>
      <w:pPr>
        <w:jc w:val="both"/>
        <w:ind w:firstLine="169"/>
        <w:spacing w:after="0" w:line="264" w:lineRule="auto"/>
        <w:tabs>
          <w:tab w:leader="none" w:pos="85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 This Amendment may be executed in two or more counterparts, each of which shall be deemed an original, but all of which</w:t>
      </w:r>
      <w:r>
        <w:rPr>
          <w:rFonts w:ascii="Arial" w:cs="Arial" w:eastAsia="Arial" w:hAnsi="Arial"/>
          <w:sz w:val="18"/>
          <w:szCs w:val="18"/>
          <w:b w:val="1"/>
          <w:bCs w:val="1"/>
          <w:color w:val="auto"/>
        </w:rPr>
        <w:t xml:space="preserve"> </w:t>
      </w:r>
      <w:r>
        <w:rPr>
          <w:rFonts w:ascii="Arial" w:cs="Arial" w:eastAsia="Arial" w:hAnsi="Arial"/>
          <w:sz w:val="18"/>
          <w:szCs w:val="18"/>
          <w:color w:val="auto"/>
        </w:rPr>
        <w:t>together shall constitute one and the same instrument. One or more counterparts of this Amendment may be executed by facsimile or other electronic means.</w:t>
      </w:r>
    </w:p>
    <w:p>
      <w:pPr>
        <w:spacing w:after="0" w:line="176" w:lineRule="exact"/>
        <w:rPr>
          <w:rFonts w:ascii="Arial" w:cs="Arial" w:eastAsia="Arial" w:hAnsi="Arial"/>
          <w:sz w:val="18"/>
          <w:szCs w:val="18"/>
          <w:color w:val="auto"/>
        </w:rPr>
      </w:pPr>
    </w:p>
    <w:p>
      <w:pPr>
        <w:ind w:left="700" w:hanging="531"/>
        <w:spacing w:after="0"/>
        <w:tabs>
          <w:tab w:leader="none" w:pos="700" w:val="left"/>
        </w:tabs>
        <w:numPr>
          <w:ilvl w:val="1"/>
          <w:numId w:val="69"/>
        </w:numPr>
        <w:rPr>
          <w:rFonts w:ascii="Arial" w:cs="Arial" w:eastAsia="Arial" w:hAnsi="Arial"/>
          <w:sz w:val="18"/>
          <w:szCs w:val="18"/>
          <w:color w:val="auto"/>
        </w:rPr>
      </w:pPr>
      <w:r>
        <w:rPr>
          <w:rFonts w:ascii="Arial" w:cs="Arial" w:eastAsia="Arial" w:hAnsi="Arial"/>
          <w:sz w:val="18"/>
          <w:szCs w:val="18"/>
          <w:b w:val="1"/>
          <w:bCs w:val="1"/>
          <w:color w:val="auto"/>
        </w:rPr>
        <w:t>Confidentiality</w:t>
      </w:r>
      <w:r>
        <w:rPr>
          <w:rFonts w:ascii="Arial" w:cs="Arial" w:eastAsia="Arial" w:hAnsi="Arial"/>
          <w:sz w:val="18"/>
          <w:szCs w:val="18"/>
          <w:color w:val="auto"/>
        </w:rPr>
        <w:t>. This Amendment and its terms shall be subject to the confidentiality obligations set forth in the License Agreement.</w:t>
      </w:r>
    </w:p>
    <w:p>
      <w:pPr>
        <w:spacing w:after="0" w:line="222" w:lineRule="exact"/>
        <w:rPr>
          <w:rFonts w:ascii="Arial" w:cs="Arial" w:eastAsia="Arial" w:hAnsi="Arial"/>
          <w:sz w:val="18"/>
          <w:szCs w:val="18"/>
          <w:color w:val="auto"/>
        </w:rPr>
      </w:pPr>
    </w:p>
    <w:p>
      <w:pPr>
        <w:jc w:val="both"/>
        <w:ind w:firstLine="169"/>
        <w:spacing w:after="0" w:line="271" w:lineRule="auto"/>
        <w:tabs>
          <w:tab w:leader="none" w:pos="783" w:val="left"/>
        </w:tabs>
        <w:numPr>
          <w:ilvl w:val="1"/>
          <w:numId w:val="69"/>
        </w:numPr>
        <w:rPr>
          <w:rFonts w:ascii="Arial" w:cs="Arial" w:eastAsia="Arial" w:hAnsi="Arial"/>
          <w:sz w:val="17"/>
          <w:szCs w:val="17"/>
          <w:color w:val="auto"/>
        </w:rPr>
      </w:pPr>
      <w:r>
        <w:rPr>
          <w:rFonts w:ascii="Arial" w:cs="Arial" w:eastAsia="Arial" w:hAnsi="Arial"/>
          <w:sz w:val="17"/>
          <w:szCs w:val="17"/>
          <w:b w:val="1"/>
          <w:bCs w:val="1"/>
          <w:color w:val="auto"/>
        </w:rPr>
        <w:t>Organization and Authority</w:t>
      </w:r>
      <w:r>
        <w:rPr>
          <w:rFonts w:ascii="Arial" w:cs="Arial" w:eastAsia="Arial" w:hAnsi="Arial"/>
          <w:sz w:val="17"/>
          <w:szCs w:val="17"/>
          <w:color w:val="auto"/>
        </w:rPr>
        <w:t>. Each Party represents, warrants, and covenants to the other Party that: Such Party is a company duly organized,</w:t>
      </w:r>
      <w:r>
        <w:rPr>
          <w:rFonts w:ascii="Arial" w:cs="Arial" w:eastAsia="Arial" w:hAnsi="Arial"/>
          <w:sz w:val="17"/>
          <w:szCs w:val="17"/>
          <w:b w:val="1"/>
          <w:bCs w:val="1"/>
          <w:color w:val="auto"/>
        </w:rPr>
        <w:t xml:space="preserve"> </w:t>
      </w:r>
      <w:r>
        <w:rPr>
          <w:rFonts w:ascii="Arial" w:cs="Arial" w:eastAsia="Arial" w:hAnsi="Arial"/>
          <w:sz w:val="17"/>
          <w:szCs w:val="17"/>
          <w:color w:val="auto"/>
        </w:rPr>
        <w:t>validly existing, and in good standing under the Laws of its jurisdiction and organization. Such Party has the requisite corporate power and authority to enter into this Amendment. Such Party has the requisite corporate power and authority to execute and deliver this Amendment and to perform all of its obligations hereunder. The execution and delivery of this Amendment and the performance by such Party of its obligations hereunder have been authorized by all requisite corporate action on its part. This Amendment has been validly executed and delivered by such Party, and, assuming that such documents have been duly authorized, executed, and delivered by the other Party, constitutes a valid and binding obligation of such Party as of the Effective Date of the Amendment, enforceable against such Party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23" w:lineRule="exact"/>
        <w:rPr>
          <w:sz w:val="20"/>
          <w:szCs w:val="20"/>
          <w:color w:val="auto"/>
        </w:rPr>
      </w:pPr>
    </w:p>
    <w:p>
      <w:pPr>
        <w:jc w:val="center"/>
        <w:ind w:left="460" w:right="120"/>
        <w:spacing w:after="0" w:line="27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48895</wp:posOffset>
            </wp:positionV>
            <wp:extent cx="713295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i w:val="1"/>
          <w:iCs w:val="1"/>
          <w:color w:val="auto"/>
        </w:rPr>
        <w:t>[Signature Page to Amendment No. 1]</w:t>
      </w:r>
    </w:p>
    <w:p>
      <w:pPr>
        <w:spacing w:after="0" w:line="200" w:lineRule="exact"/>
        <w:rPr>
          <w:sz w:val="20"/>
          <w:szCs w:val="20"/>
          <w:color w:val="auto"/>
        </w:rPr>
      </w:pPr>
    </w:p>
    <w:p>
      <w:pPr>
        <w:spacing w:after="0" w:line="238" w:lineRule="exact"/>
        <w:rPr>
          <w:sz w:val="20"/>
          <w:szCs w:val="20"/>
          <w:color w:val="auto"/>
        </w:rPr>
      </w:pPr>
    </w:p>
    <w:p>
      <w:pPr>
        <w:ind w:firstLine="484"/>
        <w:spacing w:after="0" w:line="275" w:lineRule="auto"/>
        <w:rPr>
          <w:sz w:val="20"/>
          <w:szCs w:val="20"/>
          <w:color w:val="auto"/>
        </w:rPr>
      </w:pPr>
      <w:r>
        <w:rPr>
          <w:rFonts w:ascii="Arial" w:cs="Arial" w:eastAsia="Arial" w:hAnsi="Arial"/>
          <w:sz w:val="18"/>
          <w:szCs w:val="18"/>
          <w:color w:val="auto"/>
        </w:rPr>
        <w:t>IN WITNESS WHEREOF, the parties hereto have executed this Amendment in duplicate originals by their authorized officers as of the Effective Date of the Amendment.</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ACCEPTED AND AGREED</w:t>
            </w:r>
            <w:r>
              <w:rPr>
                <w:rFonts w:ascii="Arial" w:cs="Arial" w:eastAsia="Arial" w:hAnsi="Arial"/>
                <w:sz w:val="18"/>
                <w:szCs w:val="18"/>
                <w:color w:val="auto"/>
              </w:rPr>
              <w:t>,</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11"/>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Commave Therapeutics SA</w:t>
            </w:r>
          </w:p>
        </w:tc>
        <w:tc>
          <w:tcPr>
            <w:tcW w:w="4040" w:type="dxa"/>
            <w:vAlign w:val="bottom"/>
            <w:gridSpan w:val="3"/>
          </w:tcPr>
          <w:p>
            <w:pPr>
              <w:ind w:left="840"/>
              <w:spacing w:after="0"/>
              <w:rPr>
                <w:sz w:val="20"/>
                <w:szCs w:val="20"/>
                <w:color w:val="auto"/>
              </w:rPr>
            </w:pPr>
            <w:r>
              <w:rPr>
                <w:rFonts w:ascii="Arial" w:cs="Arial" w:eastAsia="Arial" w:hAnsi="Arial"/>
                <w:sz w:val="18"/>
                <w:szCs w:val="18"/>
                <w:b w:val="1"/>
                <w:bCs w:val="1"/>
                <w:color w:val="auto"/>
              </w:rPr>
              <w:t>KemPharm, Inc.</w:t>
            </w:r>
          </w:p>
        </w:tc>
      </w:tr>
      <w:tr>
        <w:trPr>
          <w:trHeight w:val="234"/>
        </w:trPr>
        <w:tc>
          <w:tcPr>
            <w:tcW w:w="5300" w:type="dxa"/>
            <w:vAlign w:val="bottom"/>
            <w:gridSpan w:val="3"/>
          </w:tcPr>
          <w:p>
            <w:pPr>
              <w:spacing w:after="0"/>
              <w:rPr>
                <w:sz w:val="20"/>
                <w:szCs w:val="20"/>
                <w:color w:val="auto"/>
              </w:rPr>
            </w:pPr>
            <w:r>
              <w:rPr>
                <w:rFonts w:ascii="Arial" w:cs="Arial" w:eastAsia="Arial" w:hAnsi="Arial"/>
                <w:sz w:val="18"/>
                <w:szCs w:val="18"/>
                <w:b w:val="1"/>
                <w:bCs w:val="1"/>
                <w:color w:val="auto"/>
              </w:rPr>
              <w:t>(formerly known as Boston Pharmaceuticals Holdings SA)</w:t>
            </w:r>
          </w:p>
        </w:tc>
        <w:tc>
          <w:tcPr>
            <w:tcW w:w="114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819"/>
        </w:trPr>
        <w:tc>
          <w:tcPr>
            <w:tcW w:w="5300" w:type="dxa"/>
            <w:vAlign w:val="bottom"/>
            <w:gridSpan w:val="3"/>
          </w:tcPr>
          <w:p>
            <w:pPr>
              <w:spacing w:after="0"/>
              <w:rPr>
                <w:sz w:val="20"/>
                <w:szCs w:val="20"/>
                <w:color w:val="auto"/>
              </w:rPr>
            </w:pPr>
            <w:r>
              <w:rPr>
                <w:rFonts w:ascii="Arial" w:cs="Arial" w:eastAsia="Arial" w:hAnsi="Arial"/>
                <w:sz w:val="18"/>
                <w:szCs w:val="18"/>
                <w:color w:val="auto"/>
              </w:rPr>
              <w:t>By:  /s/ Gilles Lacour</w:t>
            </w:r>
          </w:p>
        </w:tc>
        <w:tc>
          <w:tcPr>
            <w:tcW w:w="4040" w:type="dxa"/>
            <w:vAlign w:val="bottom"/>
            <w:gridSpan w:val="3"/>
          </w:tcPr>
          <w:p>
            <w:pPr>
              <w:ind w:left="840"/>
              <w:spacing w:after="0"/>
              <w:rPr>
                <w:sz w:val="20"/>
                <w:szCs w:val="20"/>
                <w:color w:val="auto"/>
              </w:rPr>
            </w:pPr>
            <w:r>
              <w:rPr>
                <w:rFonts w:ascii="Arial" w:cs="Arial" w:eastAsia="Arial" w:hAnsi="Arial"/>
                <w:sz w:val="18"/>
                <w:szCs w:val="18"/>
                <w:color w:val="auto"/>
              </w:rPr>
              <w:t>By:  /s/ Travis C. Mickle, Ph.D.</w:t>
            </w:r>
          </w:p>
        </w:tc>
      </w:tr>
      <w:tr>
        <w:trPr>
          <w:trHeight w:val="20"/>
        </w:trPr>
        <w:tc>
          <w:tcPr>
            <w:tcW w:w="320" w:type="dxa"/>
            <w:vAlign w:val="bottom"/>
          </w:tcPr>
          <w:p>
            <w:pPr>
              <w:spacing w:after="0" w:line="20" w:lineRule="exact"/>
              <w:rPr>
                <w:sz w:val="1"/>
                <w:szCs w:val="1"/>
                <w:color w:val="auto"/>
              </w:rPr>
            </w:pPr>
          </w:p>
        </w:tc>
        <w:tc>
          <w:tcPr>
            <w:tcW w:w="1720" w:type="dxa"/>
            <w:vAlign w:val="bottom"/>
            <w:shd w:val="clear" w:color="auto" w:fill="000000"/>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r>
      <w:tr>
        <w:trPr>
          <w:trHeight w:val="221"/>
        </w:trPr>
        <w:tc>
          <w:tcPr>
            <w:tcW w:w="5300" w:type="dxa"/>
            <w:vAlign w:val="bottom"/>
            <w:gridSpan w:val="3"/>
          </w:tcPr>
          <w:p>
            <w:pPr>
              <w:spacing w:after="0"/>
              <w:rPr>
                <w:sz w:val="20"/>
                <w:szCs w:val="20"/>
                <w:color w:val="auto"/>
              </w:rPr>
            </w:pPr>
            <w:r>
              <w:rPr>
                <w:rFonts w:ascii="Arial" w:cs="Arial" w:eastAsia="Arial" w:hAnsi="Arial"/>
                <w:sz w:val="18"/>
                <w:szCs w:val="18"/>
                <w:color w:val="auto"/>
              </w:rPr>
              <w:t>Name: Gilles Lacour</w:t>
            </w:r>
          </w:p>
        </w:tc>
        <w:tc>
          <w:tcPr>
            <w:tcW w:w="4040" w:type="dxa"/>
            <w:vAlign w:val="bottom"/>
            <w:gridSpan w:val="3"/>
          </w:tcPr>
          <w:p>
            <w:pPr>
              <w:ind w:left="840"/>
              <w:spacing w:after="0"/>
              <w:rPr>
                <w:sz w:val="20"/>
                <w:szCs w:val="20"/>
                <w:color w:val="auto"/>
              </w:rPr>
            </w:pPr>
            <w:r>
              <w:rPr>
                <w:rFonts w:ascii="Arial" w:cs="Arial" w:eastAsia="Arial" w:hAnsi="Arial"/>
                <w:sz w:val="18"/>
                <w:szCs w:val="18"/>
                <w:color w:val="auto"/>
              </w:rPr>
              <w:t>Name: Travis C. Mickle, Ph.D.</w:t>
            </w:r>
          </w:p>
        </w:tc>
      </w:tr>
      <w:tr>
        <w:trPr>
          <w:trHeight w:val="230"/>
        </w:trPr>
        <w:tc>
          <w:tcPr>
            <w:tcW w:w="5300" w:type="dxa"/>
            <w:vAlign w:val="bottom"/>
            <w:gridSpan w:val="3"/>
          </w:tcPr>
          <w:p>
            <w:pPr>
              <w:spacing w:after="0"/>
              <w:rPr>
                <w:sz w:val="20"/>
                <w:szCs w:val="20"/>
                <w:color w:val="auto"/>
              </w:rPr>
            </w:pPr>
            <w:r>
              <w:rPr>
                <w:rFonts w:ascii="Arial" w:cs="Arial" w:eastAsia="Arial" w:hAnsi="Arial"/>
                <w:sz w:val="18"/>
                <w:szCs w:val="18"/>
                <w:color w:val="auto"/>
              </w:rPr>
              <w:t>Title: Director</w:t>
            </w:r>
          </w:p>
        </w:tc>
        <w:tc>
          <w:tcPr>
            <w:tcW w:w="4040" w:type="dxa"/>
            <w:vAlign w:val="bottom"/>
            <w:gridSpan w:val="3"/>
          </w:tcPr>
          <w:p>
            <w:pPr>
              <w:ind w:left="840"/>
              <w:spacing w:after="0"/>
              <w:rPr>
                <w:sz w:val="20"/>
                <w:szCs w:val="20"/>
                <w:color w:val="auto"/>
              </w:rPr>
            </w:pPr>
            <w:r>
              <w:rPr>
                <w:rFonts w:ascii="Arial" w:cs="Arial" w:eastAsia="Arial" w:hAnsi="Arial"/>
                <w:sz w:val="18"/>
                <w:szCs w:val="18"/>
                <w:color w:val="auto"/>
                <w:w w:val="92"/>
              </w:rPr>
              <w:t>Title: Chief Executive Officer and Chairman</w:t>
            </w: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By:  /s/ Stefan Meister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197485</wp:posOffset>
            </wp:positionH>
            <wp:positionV relativeFrom="paragraph">
              <wp:posOffset>-10795</wp:posOffset>
            </wp:positionV>
            <wp:extent cx="10007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1">
                      <a:extLst>
                        <a:ext uri="{28A0092B-C50C-407E-A947-70E740481C1C}"/>
                      </a:extLst>
                    </a:blip>
                    <a:srcRect/>
                    <a:stretch>
                      <a:fillRect/>
                    </a:stretch>
                  </pic:blipFill>
                  <pic:spPr bwMode="auto">
                    <a:xfrm>
                      <a:off x="0" y="0"/>
                      <a:ext cx="1000760"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Stefan Meister</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Title: Director</w:t>
      </w:r>
    </w:p>
    <w:p>
      <w:pPr>
        <w:spacing w:after="0" w:line="200" w:lineRule="exact"/>
        <w:rPr>
          <w:sz w:val="20"/>
          <w:szCs w:val="20"/>
          <w:color w:val="auto"/>
        </w:rPr>
      </w:pPr>
    </w:p>
    <w:p>
      <w:pPr>
        <w:spacing w:after="0" w:line="223" w:lineRule="exact"/>
        <w:rPr>
          <w:sz w:val="20"/>
          <w:szCs w:val="20"/>
          <w:color w:val="auto"/>
        </w:rPr>
      </w:pPr>
    </w:p>
    <w:p>
      <w:pPr>
        <w:jc w:val="center"/>
        <w:ind w:left="460" w:right="120"/>
        <w:spacing w:after="0" w:line="275" w:lineRule="auto"/>
        <w:rPr>
          <w:sz w:val="20"/>
          <w:szCs w:val="20"/>
          <w:color w:val="auto"/>
        </w:rPr>
      </w:pPr>
      <w:r>
        <w:rPr>
          <w:rFonts w:ascii="Arial" w:cs="Arial" w:eastAsia="Arial" w:hAnsi="Arial"/>
          <w:sz w:val="18"/>
          <w:szCs w:val="18"/>
          <w:color w:val="auto"/>
        </w:rPr>
        <w:t>CERTAIN CONFIDENTIAL INFORMATION CONTAINED IN THIS DOCUMENT, MARKED BY [***], HAS BEEN OMITTED BECAUSE IT IS NOT MATERIAL AND WOULD LIKELY CAUSE COMPETITIVE HARM TO THE COMPANY IF PUBLICLY DISCLOSED.</w:t>
      </w:r>
    </w:p>
    <w:p>
      <w:pPr>
        <w:sectPr>
          <w:pgSz w:w="11900" w:h="16838" w:orient="portrait"/>
          <w:cols w:equalWidth="0" w:num="1">
            <w:col w:w="11240"/>
          </w:cols>
          <w:pgMar w:left="320" w:top="797" w:right="339" w:bottom="1440" w:gutter="0" w:footer="0" w:header="0"/>
        </w:sectPr>
      </w:pPr>
    </w:p>
    <w:bookmarkStart w:id="115" w:name="page116"/>
    <w:bookmarkEnd w:id="115"/>
    <w:p>
      <w:pPr>
        <w:jc w:val="right"/>
        <w:spacing w:after="0"/>
        <w:rPr>
          <w:sz w:val="20"/>
          <w:szCs w:val="20"/>
          <w:color w:val="auto"/>
        </w:rPr>
      </w:pPr>
      <w:r>
        <w:rPr>
          <w:rFonts w:ascii="Arial" w:cs="Arial" w:eastAsia="Arial" w:hAnsi="Arial"/>
          <w:sz w:val="21"/>
          <w:szCs w:val="21"/>
          <w:b w:val="1"/>
          <w:bCs w:val="1"/>
          <w:color w:val="auto"/>
        </w:rPr>
        <w:t>E</w:t>
      </w:r>
      <w:r>
        <w:rPr>
          <w:rFonts w:ascii="Arial" w:cs="Arial" w:eastAsia="Arial" w:hAnsi="Arial"/>
          <w:sz w:val="14"/>
          <w:szCs w:val="14"/>
          <w:b w:val="1"/>
          <w:bCs w:val="1"/>
          <w:color w:val="auto"/>
        </w:rPr>
        <w:t>XHIBIT</w:t>
      </w:r>
      <w:r>
        <w:rPr>
          <w:rFonts w:ascii="Arial" w:cs="Arial" w:eastAsia="Arial" w:hAnsi="Arial"/>
          <w:sz w:val="21"/>
          <w:szCs w:val="21"/>
          <w:b w:val="1"/>
          <w:bCs w:val="1"/>
          <w:color w:val="auto"/>
        </w:rPr>
        <w:t xml:space="preserve"> 10.4</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K</w:t>
      </w:r>
      <w:r>
        <w:rPr>
          <w:rFonts w:ascii="Arial" w:cs="Arial" w:eastAsia="Arial" w:hAnsi="Arial"/>
          <w:sz w:val="14"/>
          <w:szCs w:val="14"/>
          <w:b w:val="1"/>
          <w:bCs w:val="1"/>
          <w:color w:val="auto"/>
        </w:rPr>
        <w:t>EM</w:t>
      </w:r>
      <w:r>
        <w:rPr>
          <w:rFonts w:ascii="Arial" w:cs="Arial" w:eastAsia="Arial" w:hAnsi="Arial"/>
          <w:sz w:val="21"/>
          <w:szCs w:val="21"/>
          <w:b w:val="1"/>
          <w:bCs w:val="1"/>
          <w:color w:val="auto"/>
        </w:rPr>
        <w:t>P</w:t>
      </w:r>
      <w:r>
        <w:rPr>
          <w:rFonts w:ascii="Arial" w:cs="Arial" w:eastAsia="Arial" w:hAnsi="Arial"/>
          <w:sz w:val="14"/>
          <w:szCs w:val="14"/>
          <w:b w:val="1"/>
          <w:bCs w:val="1"/>
          <w:color w:val="auto"/>
        </w:rPr>
        <w:t>HARM</w:t>
      </w:r>
      <w:r>
        <w:rPr>
          <w:rFonts w:ascii="Arial" w:cs="Arial" w:eastAsia="Arial" w:hAnsi="Arial"/>
          <w:sz w:val="21"/>
          <w:szCs w:val="21"/>
          <w:b w:val="1"/>
          <w:bCs w:val="1"/>
          <w:color w:val="auto"/>
        </w:rPr>
        <w:t>, I</w:t>
      </w:r>
      <w:r>
        <w:rPr>
          <w:rFonts w:ascii="Arial" w:cs="Arial" w:eastAsia="Arial" w:hAnsi="Arial"/>
          <w:sz w:val="14"/>
          <w:szCs w:val="14"/>
          <w:b w:val="1"/>
          <w:bCs w:val="1"/>
          <w:color w:val="auto"/>
        </w:rPr>
        <w:t>NC</w:t>
      </w:r>
      <w:r>
        <w:rPr>
          <w:rFonts w:ascii="Arial" w:cs="Arial" w:eastAsia="Arial" w:hAnsi="Arial"/>
          <w:sz w:val="21"/>
          <w:szCs w:val="21"/>
          <w:b w:val="1"/>
          <w:bCs w:val="1"/>
          <w:color w:val="auto"/>
        </w:rPr>
        <w: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w:t>
      </w:r>
      <w:r>
        <w:rPr>
          <w:rFonts w:ascii="Arial" w:cs="Arial" w:eastAsia="Arial" w:hAnsi="Arial"/>
          <w:sz w:val="14"/>
          <w:szCs w:val="14"/>
          <w:b w:val="1"/>
          <w:bCs w:val="1"/>
          <w:color w:val="auto"/>
        </w:rPr>
        <w:t>MENDED AND</w:t>
      </w:r>
      <w:r>
        <w:rPr>
          <w:rFonts w:ascii="Arial" w:cs="Arial" w:eastAsia="Arial" w:hAnsi="Arial"/>
          <w:sz w:val="21"/>
          <w:szCs w:val="21"/>
          <w:b w:val="1"/>
          <w:bCs w:val="1"/>
          <w:color w:val="auto"/>
        </w:rPr>
        <w:t xml:space="preserve"> R</w:t>
      </w:r>
      <w:r>
        <w:rPr>
          <w:rFonts w:ascii="Arial" w:cs="Arial" w:eastAsia="Arial" w:hAnsi="Arial"/>
          <w:sz w:val="14"/>
          <w:szCs w:val="14"/>
          <w:b w:val="1"/>
          <w:bCs w:val="1"/>
          <w:color w:val="auto"/>
        </w:rPr>
        <w:t>ESTATED</w:t>
      </w:r>
      <w:r>
        <w:rPr>
          <w:rFonts w:ascii="Arial" w:cs="Arial" w:eastAsia="Arial" w:hAnsi="Arial"/>
          <w:sz w:val="21"/>
          <w:szCs w:val="21"/>
          <w:b w:val="1"/>
          <w:bCs w:val="1"/>
          <w:color w:val="auto"/>
        </w:rPr>
        <w:t xml:space="preserve"> 2014 E</w:t>
      </w:r>
      <w:r>
        <w:rPr>
          <w:rFonts w:ascii="Arial" w:cs="Arial" w:eastAsia="Arial" w:hAnsi="Arial"/>
          <w:sz w:val="14"/>
          <w:szCs w:val="14"/>
          <w:b w:val="1"/>
          <w:bCs w:val="1"/>
          <w:color w:val="auto"/>
        </w:rPr>
        <w:t>QUITY</w:t>
      </w:r>
      <w:r>
        <w:rPr>
          <w:rFonts w:ascii="Arial" w:cs="Arial" w:eastAsia="Arial" w:hAnsi="Arial"/>
          <w:sz w:val="21"/>
          <w:szCs w:val="21"/>
          <w:b w:val="1"/>
          <w:bCs w:val="1"/>
          <w:color w:val="auto"/>
        </w:rPr>
        <w:t xml:space="preserve"> I</w:t>
      </w:r>
      <w:r>
        <w:rPr>
          <w:rFonts w:ascii="Arial" w:cs="Arial" w:eastAsia="Arial" w:hAnsi="Arial"/>
          <w:sz w:val="14"/>
          <w:szCs w:val="14"/>
          <w:b w:val="1"/>
          <w:bCs w:val="1"/>
          <w:color w:val="auto"/>
        </w:rPr>
        <w:t>NCENTIVE</w:t>
      </w:r>
      <w:r>
        <w:rPr>
          <w:rFonts w:ascii="Arial" w:cs="Arial" w:eastAsia="Arial" w:hAnsi="Arial"/>
          <w:sz w:val="21"/>
          <w:szCs w:val="21"/>
          <w:b w:val="1"/>
          <w:bCs w:val="1"/>
          <w:color w:val="auto"/>
        </w:rPr>
        <w:t xml:space="preserve"> P</w:t>
      </w:r>
      <w:r>
        <w:rPr>
          <w:rFonts w:ascii="Arial" w:cs="Arial" w:eastAsia="Arial" w:hAnsi="Arial"/>
          <w:sz w:val="14"/>
          <w:szCs w:val="14"/>
          <w:b w:val="1"/>
          <w:bCs w:val="1"/>
          <w:color w:val="auto"/>
        </w:rPr>
        <w:t>LAN</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N</w:t>
      </w:r>
      <w:r>
        <w:rPr>
          <w:rFonts w:ascii="Arial" w:cs="Arial" w:eastAsia="Arial" w:hAnsi="Arial"/>
          <w:sz w:val="12"/>
          <w:szCs w:val="12"/>
          <w:b w:val="1"/>
          <w:bCs w:val="1"/>
          <w:color w:val="auto"/>
        </w:rPr>
        <w:t>OVEMBER</w:t>
      </w:r>
      <w:r>
        <w:rPr>
          <w:rFonts w:ascii="Arial" w:cs="Arial" w:eastAsia="Arial" w:hAnsi="Arial"/>
          <w:sz w:val="18"/>
          <w:szCs w:val="18"/>
          <w:b w:val="1"/>
          <w:bCs w:val="1"/>
          <w:color w:val="auto"/>
        </w:rPr>
        <w:t xml:space="preserve"> 7, 2014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1, 2015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2"/>
          <w:szCs w:val="12"/>
          <w:b w:val="1"/>
          <w:bCs w:val="1"/>
          <w:color w:val="auto"/>
        </w:rPr>
        <w:t>RIGINAL</w:t>
      </w:r>
      <w:r>
        <w:rPr>
          <w:rFonts w:ascii="Arial" w:cs="Arial" w:eastAsia="Arial" w:hAnsi="Arial"/>
          <w:sz w:val="18"/>
          <w:szCs w:val="18"/>
          <w:b w:val="1"/>
          <w:bCs w:val="1"/>
          <w:color w:val="auto"/>
        </w:rPr>
        <w:t xml:space="preserve"> E</w:t>
      </w:r>
      <w:r>
        <w:rPr>
          <w:rFonts w:ascii="Arial" w:cs="Arial" w:eastAsia="Arial" w:hAnsi="Arial"/>
          <w:sz w:val="12"/>
          <w:szCs w:val="12"/>
          <w:b w:val="1"/>
          <w:bCs w:val="1"/>
          <w:color w:val="auto"/>
        </w:rPr>
        <w:t>FFECTIVE</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ATE</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15, 2015</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MENDED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29, 2021</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17, 2021</w:t>
      </w:r>
    </w:p>
    <w:p>
      <w:pPr>
        <w:spacing w:after="0" w:line="204" w:lineRule="exact"/>
        <w:rPr>
          <w:sz w:val="20"/>
          <w:szCs w:val="20"/>
          <w:color w:val="auto"/>
        </w:rPr>
      </w:pPr>
    </w:p>
    <w:p>
      <w:pPr>
        <w:ind w:left="320" w:hanging="313"/>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General.</w:t>
      </w:r>
    </w:p>
    <w:p>
      <w:pPr>
        <w:spacing w:after="0" w:line="222" w:lineRule="exact"/>
        <w:rPr>
          <w:rFonts w:ascii="Arial" w:cs="Arial" w:eastAsia="Arial" w:hAnsi="Arial"/>
          <w:sz w:val="18"/>
          <w:szCs w:val="18"/>
          <w:b w:val="1"/>
          <w:bCs w:val="1"/>
          <w:color w:val="auto"/>
        </w:rPr>
      </w:pPr>
    </w:p>
    <w:p>
      <w:pPr>
        <w:ind w:left="1040" w:hanging="388"/>
        <w:spacing w:after="0"/>
        <w:tabs>
          <w:tab w:leader="none" w:pos="104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Eligible Award Recipients. </w:t>
      </w:r>
      <w:r>
        <w:rPr>
          <w:rFonts w:ascii="Arial" w:cs="Arial" w:eastAsia="Arial" w:hAnsi="Arial"/>
          <w:sz w:val="18"/>
          <w:szCs w:val="18"/>
          <w:color w:val="auto"/>
        </w:rPr>
        <w:t>Employees, Directors and Consultants are eligible to receive Awards.</w:t>
      </w:r>
    </w:p>
    <w:p>
      <w:pPr>
        <w:spacing w:after="0" w:line="222" w:lineRule="exact"/>
        <w:rPr>
          <w:rFonts w:ascii="Arial" w:cs="Arial" w:eastAsia="Arial" w:hAnsi="Arial"/>
          <w:sz w:val="18"/>
          <w:szCs w:val="18"/>
          <w:b w:val="1"/>
          <w:bCs w:val="1"/>
          <w:color w:val="auto"/>
        </w:rPr>
      </w:pPr>
    </w:p>
    <w:p>
      <w:pPr>
        <w:jc w:val="both"/>
        <w:ind w:firstLine="652"/>
        <w:spacing w:after="0" w:line="264" w:lineRule="auto"/>
        <w:tabs>
          <w:tab w:leader="none" w:pos="1033"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Available Awards. </w:t>
      </w:r>
      <w:r>
        <w:rPr>
          <w:rFonts w:ascii="Arial" w:cs="Arial" w:eastAsia="Arial" w:hAnsi="Arial"/>
          <w:sz w:val="18"/>
          <w:szCs w:val="18"/>
          <w:color w:val="auto"/>
        </w:rPr>
        <w:t>The Plan provides for the grant of the following Awards: (i) Incentive Stock Options, (ii) Nonstatutory Stock Options, (iii)</w:t>
      </w:r>
      <w:r>
        <w:rPr>
          <w:rFonts w:ascii="Arial" w:cs="Arial" w:eastAsia="Arial" w:hAnsi="Arial"/>
          <w:sz w:val="18"/>
          <w:szCs w:val="18"/>
          <w:b w:val="1"/>
          <w:bCs w:val="1"/>
          <w:color w:val="auto"/>
        </w:rPr>
        <w:t xml:space="preserve"> </w:t>
      </w:r>
      <w:r>
        <w:rPr>
          <w:rFonts w:ascii="Arial" w:cs="Arial" w:eastAsia="Arial" w:hAnsi="Arial"/>
          <w:sz w:val="18"/>
          <w:szCs w:val="18"/>
          <w:color w:val="auto"/>
        </w:rPr>
        <w:t>Stock Appreciation Rights (iv) Restricted Stock Awards, (v) Restricted Stock Unit Awards, (vi) Performance Stock Awards, (vii) Performance Cash Awards, and (viii) Other Stock Awards.</w:t>
      </w:r>
    </w:p>
    <w:p>
      <w:pPr>
        <w:spacing w:after="0" w:line="176" w:lineRule="exact"/>
        <w:rPr>
          <w:rFonts w:ascii="Arial" w:cs="Arial" w:eastAsia="Arial" w:hAnsi="Arial"/>
          <w:sz w:val="18"/>
          <w:szCs w:val="18"/>
          <w:b w:val="1"/>
          <w:bCs w:val="1"/>
          <w:color w:val="auto"/>
        </w:rPr>
      </w:pPr>
    </w:p>
    <w:p>
      <w:pPr>
        <w:jc w:val="both"/>
        <w:ind w:firstLine="652"/>
        <w:spacing w:after="0" w:line="264" w:lineRule="auto"/>
        <w:tabs>
          <w:tab w:leader="none" w:pos="1117"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Purpose. </w:t>
      </w:r>
      <w:r>
        <w:rPr>
          <w:rFonts w:ascii="Arial" w:cs="Arial" w:eastAsia="Arial" w:hAnsi="Arial"/>
          <w:sz w:val="18"/>
          <w:szCs w:val="18"/>
          <w:color w:val="auto"/>
        </w:rPr>
        <w:t>This Plan, through the granting of Awards, is intended to help the Company secure and retain the services of eligible award</w:t>
      </w:r>
      <w:r>
        <w:rPr>
          <w:rFonts w:ascii="Arial" w:cs="Arial" w:eastAsia="Arial" w:hAnsi="Arial"/>
          <w:sz w:val="18"/>
          <w:szCs w:val="18"/>
          <w:b w:val="1"/>
          <w:bCs w:val="1"/>
          <w:color w:val="auto"/>
        </w:rPr>
        <w:t xml:space="preserve"> </w:t>
      </w:r>
      <w:r>
        <w:rPr>
          <w:rFonts w:ascii="Arial" w:cs="Arial" w:eastAsia="Arial" w:hAnsi="Arial"/>
          <w:sz w:val="18"/>
          <w:szCs w:val="18"/>
          <w:color w:val="auto"/>
        </w:rPr>
        <w:t>recipients, provide incentives for such persons to exert maximum efforts for the success of the Company and any Affiliate, and provide a means by which the eligible recipients may benefit from increases in value of the Common Stock.</w:t>
      </w:r>
    </w:p>
    <w:p>
      <w:pPr>
        <w:spacing w:after="0" w:line="176" w:lineRule="exact"/>
        <w:rPr>
          <w:rFonts w:ascii="Arial" w:cs="Arial" w:eastAsia="Arial" w:hAnsi="Arial"/>
          <w:sz w:val="18"/>
          <w:szCs w:val="18"/>
          <w:b w:val="1"/>
          <w:bCs w:val="1"/>
          <w:color w:val="auto"/>
        </w:rPr>
      </w:pPr>
    </w:p>
    <w:p>
      <w:pPr>
        <w:ind w:left="320" w:hanging="313"/>
        <w:spacing w:after="0"/>
        <w:tabs>
          <w:tab w:leader="none" w:pos="32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w:t>
      </w:r>
    </w:p>
    <w:p>
      <w:pPr>
        <w:spacing w:after="0" w:line="222" w:lineRule="exact"/>
        <w:rPr>
          <w:rFonts w:ascii="Arial" w:cs="Arial" w:eastAsia="Arial" w:hAnsi="Arial"/>
          <w:sz w:val="18"/>
          <w:szCs w:val="18"/>
          <w:b w:val="1"/>
          <w:bCs w:val="1"/>
          <w:color w:val="auto"/>
        </w:rPr>
      </w:pPr>
    </w:p>
    <w:p>
      <w:pPr>
        <w:ind w:firstLine="652"/>
        <w:spacing w:after="0" w:line="280" w:lineRule="auto"/>
        <w:tabs>
          <w:tab w:leader="none" w:pos="1121"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Administration by Board. </w:t>
      </w:r>
      <w:r>
        <w:rPr>
          <w:rFonts w:ascii="Arial" w:cs="Arial" w:eastAsia="Arial" w:hAnsi="Arial"/>
          <w:sz w:val="18"/>
          <w:szCs w:val="18"/>
          <w:color w:val="auto"/>
        </w:rPr>
        <w:t>The Board will administer the Plan. The Board may delegate administration of the Plan to a Committee or</w:t>
      </w:r>
      <w:r>
        <w:rPr>
          <w:rFonts w:ascii="Arial" w:cs="Arial" w:eastAsia="Arial" w:hAnsi="Arial"/>
          <w:sz w:val="18"/>
          <w:szCs w:val="18"/>
          <w:b w:val="1"/>
          <w:bCs w:val="1"/>
          <w:color w:val="auto"/>
        </w:rPr>
        <w:t xml:space="preserve"> </w:t>
      </w:r>
      <w:r>
        <w:rPr>
          <w:rFonts w:ascii="Arial" w:cs="Arial" w:eastAsia="Arial" w:hAnsi="Arial"/>
          <w:sz w:val="18"/>
          <w:szCs w:val="18"/>
          <w:color w:val="auto"/>
        </w:rPr>
        <w:t>Committees, as provided in Section 2(c).</w:t>
      </w:r>
    </w:p>
    <w:p>
      <w:pPr>
        <w:spacing w:after="0" w:line="161" w:lineRule="exact"/>
        <w:rPr>
          <w:rFonts w:ascii="Arial" w:cs="Arial" w:eastAsia="Arial" w:hAnsi="Arial"/>
          <w:sz w:val="18"/>
          <w:szCs w:val="18"/>
          <w:b w:val="1"/>
          <w:bCs w:val="1"/>
          <w:color w:val="auto"/>
        </w:rPr>
      </w:pPr>
    </w:p>
    <w:p>
      <w:pPr>
        <w:ind w:left="1060" w:hanging="408"/>
        <w:spacing w:after="0"/>
        <w:tabs>
          <w:tab w:leader="none" w:pos="1060" w:val="left"/>
        </w:tabs>
        <w:numPr>
          <w:ilvl w:val="1"/>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Powers of Board. </w:t>
      </w:r>
      <w:r>
        <w:rPr>
          <w:rFonts w:ascii="Arial" w:cs="Arial" w:eastAsia="Arial" w:hAnsi="Arial"/>
          <w:sz w:val="18"/>
          <w:szCs w:val="18"/>
          <w:color w:val="auto"/>
        </w:rPr>
        <w:t>The Board will have the power, subject to, and within the limitations of, the express provisions of the Plan:</w:t>
      </w:r>
    </w:p>
    <w:p>
      <w:pPr>
        <w:spacing w:after="0" w:line="226" w:lineRule="exact"/>
        <w:rPr>
          <w:rFonts w:ascii="Arial" w:cs="Arial" w:eastAsia="Arial" w:hAnsi="Arial"/>
          <w:sz w:val="18"/>
          <w:szCs w:val="18"/>
          <w:b w:val="1"/>
          <w:bCs w:val="1"/>
          <w:color w:val="auto"/>
        </w:rPr>
      </w:pPr>
    </w:p>
    <w:p>
      <w:pPr>
        <w:jc w:val="both"/>
        <w:ind w:firstLine="1297"/>
        <w:spacing w:after="0" w:line="258" w:lineRule="auto"/>
        <w:tabs>
          <w:tab w:leader="none" w:pos="1707" w:val="left"/>
        </w:tabs>
        <w:numPr>
          <w:ilvl w:val="2"/>
          <w:numId w:val="70"/>
        </w:numPr>
        <w:rPr>
          <w:rFonts w:ascii="Arial" w:cs="Arial" w:eastAsia="Arial" w:hAnsi="Arial"/>
          <w:sz w:val="18"/>
          <w:szCs w:val="18"/>
          <w:b w:val="1"/>
          <w:bCs w:val="1"/>
          <w:color w:val="auto"/>
        </w:rPr>
      </w:pPr>
      <w:r>
        <w:rPr>
          <w:rFonts w:ascii="Arial" w:cs="Arial" w:eastAsia="Arial" w:hAnsi="Arial"/>
          <w:sz w:val="18"/>
          <w:szCs w:val="18"/>
          <w:color w:val="auto"/>
        </w:rPr>
        <w:t>To determine: (A) who will be granted Awards; (B) when and how each Award will be granted; (C) what type of Award will be granted; (D) the provisions of each Award (which need not be identical), including when a person will be permitted to exercise or otherwise receive cash or Common Stock under the Award; (E) the number of shares of Common Stock subject to, or the cash value of, an Award; and (F) the Fair Market Value applicable to a Stock Award.</w:t>
      </w:r>
    </w:p>
    <w:p>
      <w:pPr>
        <w:spacing w:after="0" w:line="184" w:lineRule="exact"/>
        <w:rPr>
          <w:rFonts w:ascii="Arial" w:cs="Arial" w:eastAsia="Arial" w:hAnsi="Arial"/>
          <w:sz w:val="18"/>
          <w:szCs w:val="18"/>
          <w:b w:val="1"/>
          <w:bCs w:val="1"/>
          <w:color w:val="auto"/>
        </w:rPr>
      </w:pPr>
    </w:p>
    <w:p>
      <w:pPr>
        <w:jc w:val="both"/>
        <w:ind w:firstLine="1297"/>
        <w:spacing w:after="0" w:line="258" w:lineRule="auto"/>
        <w:tabs>
          <w:tab w:leader="none" w:pos="1794" w:val="left"/>
        </w:tabs>
        <w:numPr>
          <w:ilvl w:val="2"/>
          <w:numId w:val="70"/>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Awards granted under it, and to establish, amend and revoke rules and regulations for administration of the Plan and Awards. The Board, in the exercise of these powers, may correct any defect, omission or inconsistency in the Plan or in any Award Agreement or in the written terms of a Performance Cash Award, in a manner and to the extent it will deem necessary or expedient to make the Plan or Award fully effective.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6" w:name="page117"/>
    <w:bookmarkEnd w:id="116"/>
    <w:p>
      <w:pPr>
        <w:ind w:left="1740" w:hanging="443"/>
        <w:spacing w:after="0"/>
        <w:tabs>
          <w:tab w:leader="none" w:pos="1740"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Awards granted under it.</w:t>
      </w:r>
    </w:p>
    <w:p>
      <w:pPr>
        <w:spacing w:after="0" w:line="222" w:lineRule="exact"/>
        <w:rPr>
          <w:rFonts w:ascii="Arial" w:cs="Arial" w:eastAsia="Arial" w:hAnsi="Arial"/>
          <w:sz w:val="18"/>
          <w:szCs w:val="18"/>
          <w:b w:val="1"/>
          <w:bCs w:val="1"/>
          <w:color w:val="auto"/>
        </w:rPr>
      </w:pPr>
    </w:p>
    <w:p>
      <w:pPr>
        <w:ind w:left="1780" w:hanging="483"/>
        <w:spacing w:after="0"/>
        <w:tabs>
          <w:tab w:leader="none" w:pos="178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To accelerate, in whole or in part, the time at which an Award may be exercised or vest (or at which cash or shares of Common</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Stock may be issued).</w:t>
      </w:r>
    </w:p>
    <w:p>
      <w:pPr>
        <w:spacing w:after="0" w:line="208" w:lineRule="exact"/>
        <w:rPr>
          <w:rFonts w:ascii="Arial" w:cs="Arial" w:eastAsia="Arial" w:hAnsi="Arial"/>
          <w:sz w:val="16"/>
          <w:szCs w:val="16"/>
          <w:b w:val="1"/>
          <w:bCs w:val="1"/>
          <w:color w:val="auto"/>
        </w:rPr>
      </w:pPr>
    </w:p>
    <w:p>
      <w:pPr>
        <w:jc w:val="both"/>
        <w:ind w:firstLine="1297"/>
        <w:spacing w:after="0" w:line="262" w:lineRule="auto"/>
        <w:tabs>
          <w:tab w:leader="none" w:pos="1756"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Except as otherwise provided in the Plan or an Award Agreement, suspension or termination of the Plan will not materially impair a Participant’s rights under his or her then-outstanding Award without his or her written consent except as provided in subsection (viii) below.</w:t>
      </w:r>
    </w:p>
    <w:p>
      <w:pPr>
        <w:spacing w:after="0" w:line="182" w:lineRule="exact"/>
        <w:rPr>
          <w:rFonts w:ascii="Arial" w:cs="Arial" w:eastAsia="Arial" w:hAnsi="Arial"/>
          <w:sz w:val="18"/>
          <w:szCs w:val="18"/>
          <w:b w:val="1"/>
          <w:bCs w:val="1"/>
          <w:color w:val="auto"/>
        </w:rPr>
      </w:pPr>
    </w:p>
    <w:p>
      <w:pPr>
        <w:jc w:val="both"/>
        <w:ind w:firstLine="1297"/>
        <w:spacing w:after="0" w:line="287" w:lineRule="auto"/>
        <w:tabs>
          <w:tab w:leader="none" w:pos="1759"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To amend the Plan in any respect the Board deems necessary or advisable, including, without limitation, by adopting amendments relating to Incentive Stock Options and certain nonqualified deferred compensation under Section 409A of the Code and/or to bring the Plan or Awards granted under the Plan compliant with the requirements for Incentive Stock Options or exempt from or compliant with the requirements for nonqualified deferred compensation under Section 409A of the Code, subject to the limitations, if any, of applicable law. If required by applicable law or listing requirements, and except as provided in Section 9(a) relating to Capitalization Adjustments, the Company will seek stockholder approval of any amendment of the Plan that (A) materially increases the number of shares of Common Stock available for issuance under the Plan, (B) materially expands the class of individuals eligible to receive Awards under the Plan, (C) materially increases the benefits accruing to Participants under the Plan, (D) materially reduces the price at which shares of Common Stock may be issued or purchased under the Plan, (E) materially extends the term of the Plan, or (F) materially expands the types of Awards available for issuance under the Plan. Except as otherwise provided in the Plan or an Award Agreement, no amendment of the Plan will materially impair a Participant’s rights under an outstanding Award without the Participant’s written consent.</w:t>
      </w:r>
    </w:p>
    <w:p>
      <w:pPr>
        <w:spacing w:after="0" w:line="164" w:lineRule="exact"/>
        <w:rPr>
          <w:rFonts w:ascii="Arial" w:cs="Arial" w:eastAsia="Arial" w:hAnsi="Arial"/>
          <w:sz w:val="16"/>
          <w:szCs w:val="16"/>
          <w:b w:val="1"/>
          <w:bCs w:val="1"/>
          <w:color w:val="auto"/>
        </w:rPr>
      </w:pPr>
    </w:p>
    <w:p>
      <w:pPr>
        <w:ind w:firstLine="1297"/>
        <w:spacing w:after="0" w:line="275" w:lineRule="auto"/>
        <w:tabs>
          <w:tab w:leader="none" w:pos="1805" w:val="left"/>
        </w:tabs>
        <w:numPr>
          <w:ilvl w:val="0"/>
          <w:numId w:val="71"/>
        </w:numPr>
        <w:rPr>
          <w:rFonts w:ascii="Arial" w:cs="Arial" w:eastAsia="Arial" w:hAnsi="Arial"/>
          <w:sz w:val="18"/>
          <w:szCs w:val="18"/>
          <w:b w:val="1"/>
          <w:bCs w:val="1"/>
          <w:color w:val="auto"/>
        </w:rPr>
      </w:pPr>
      <w:r>
        <w:rPr>
          <w:rFonts w:ascii="Arial" w:cs="Arial" w:eastAsia="Arial" w:hAnsi="Arial"/>
          <w:sz w:val="18"/>
          <w:szCs w:val="18"/>
          <w:color w:val="auto"/>
        </w:rPr>
        <w:t>To submit any amendment to the Plan for stockholder approval, including, but not limited to, amendments to the Plan intended to satisfy the requirements of (A) Section 422 of the Code regarding “incentive stock options” or (B) Rule 16b-3.</w:t>
      </w:r>
    </w:p>
    <w:p>
      <w:pPr>
        <w:spacing w:after="0" w:line="170" w:lineRule="exact"/>
        <w:rPr>
          <w:rFonts w:ascii="Arial" w:cs="Arial" w:eastAsia="Arial" w:hAnsi="Arial"/>
          <w:sz w:val="18"/>
          <w:szCs w:val="18"/>
          <w:b w:val="1"/>
          <w:bCs w:val="1"/>
          <w:color w:val="auto"/>
        </w:rPr>
      </w:pPr>
    </w:p>
    <w:p>
      <w:pPr>
        <w:jc w:val="both"/>
        <w:ind w:firstLine="1297"/>
        <w:spacing w:after="0" w:line="287" w:lineRule="auto"/>
        <w:tabs>
          <w:tab w:leader="none" w:pos="1840" w:val="left"/>
        </w:tabs>
        <w:numPr>
          <w:ilvl w:val="0"/>
          <w:numId w:val="71"/>
        </w:numPr>
        <w:rPr>
          <w:rFonts w:ascii="Arial" w:cs="Arial" w:eastAsia="Arial" w:hAnsi="Arial"/>
          <w:sz w:val="16"/>
          <w:szCs w:val="16"/>
          <w:b w:val="1"/>
          <w:bCs w:val="1"/>
          <w:color w:val="auto"/>
        </w:rPr>
      </w:pPr>
      <w:r>
        <w:rPr>
          <w:rFonts w:ascii="Arial" w:cs="Arial" w:eastAsia="Arial" w:hAnsi="Arial"/>
          <w:sz w:val="16"/>
          <w:szCs w:val="16"/>
          <w:color w:val="auto"/>
        </w:rPr>
        <w:t xml:space="preserve">To approve forms of Award Agreements for use under the Plan and to amend the terms of any one or more Awards, including, but not limited to, amendments to provide terms more favorable to the Participant than previously provided in the Award Agreement, subject to any specified limits in the Plan that are not subject to Board discretion;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that a Participant’s rights under any Award will not be impaired by any such amendment unless (A) the Company requests the consent of the affected Participant, and (B) such Participant consents in writing. Notwithstanding the foregoing, (1) a Participant’s rights will not be deemed to have been impaired by any such amendment if the Board, in its sole discretion, determines that the amendment, taken as a whole, does not materially impair the Participant’s rights, and (2) subject to the limitations of applicable law, if any, the Board may amend the terms of any one or more Awards without the affected Participant’s consent (A) to maintain the qualified status of the Award as an Incentive Stock Option under Section 422 of the Code; (B) to change the terms of an Incentive Stock Option, if such change results in impairment of the Award solely because it impairs the qualified status of the Award as an Incentive Stock Option under Section 422 of the Code; (C) to clarify the manner of exemption from, or to bring the Award into compliance with, Section 409A of the Code; or (D) to comply with other applicable laws or listing requirements.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7" w:name="page118"/>
    <w:bookmarkEnd w:id="117"/>
    <w:p>
      <w:pPr>
        <w:ind w:firstLine="1297"/>
        <w:spacing w:after="0" w:line="275" w:lineRule="auto"/>
        <w:tabs>
          <w:tab w:leader="none" w:pos="1732"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the Board deems necessary or expedient to promote the best interests of the Company and that are not in conflict with the provisions of the Plan or Awards.</w:t>
      </w:r>
    </w:p>
    <w:p>
      <w:pPr>
        <w:spacing w:after="0" w:line="170" w:lineRule="exact"/>
        <w:rPr>
          <w:rFonts w:ascii="Arial" w:cs="Arial" w:eastAsia="Arial" w:hAnsi="Arial"/>
          <w:sz w:val="18"/>
          <w:szCs w:val="18"/>
          <w:b w:val="1"/>
          <w:bCs w:val="1"/>
          <w:color w:val="auto"/>
        </w:rPr>
      </w:pPr>
    </w:p>
    <w:p>
      <w:pPr>
        <w:jc w:val="both"/>
        <w:ind w:firstLine="1297"/>
        <w:spacing w:after="0" w:line="284" w:lineRule="auto"/>
        <w:tabs>
          <w:tab w:leader="none" w:pos="1703" w:val="left"/>
        </w:tabs>
        <w:numPr>
          <w:ilvl w:val="1"/>
          <w:numId w:val="72"/>
        </w:numPr>
        <w:rPr>
          <w:rFonts w:ascii="Arial" w:cs="Arial" w:eastAsia="Arial" w:hAnsi="Arial"/>
          <w:sz w:val="17"/>
          <w:szCs w:val="17"/>
          <w:b w:val="1"/>
          <w:bCs w:val="1"/>
          <w:color w:val="auto"/>
        </w:rPr>
      </w:pPr>
      <w:r>
        <w:rPr>
          <w:rFonts w:ascii="Arial" w:cs="Arial" w:eastAsia="Arial" w:hAnsi="Arial"/>
          <w:sz w:val="17"/>
          <w:szCs w:val="17"/>
          <w:color w:val="auto"/>
        </w:rPr>
        <w:t>To adopt such procedures and sub-plans as are necessary or appropriate to permit participation in the Plan by Employees, Directors or Consultants who are foreign nationals or employed outside the United States (provided that Board approval will not be necessary for immaterial modifications to the Plan or any Award Agreement that are required for compliance with the laws of the relevant foreign jurisdiction).</w:t>
      </w:r>
    </w:p>
    <w:p>
      <w:pPr>
        <w:spacing w:after="0" w:line="166" w:lineRule="exact"/>
        <w:rPr>
          <w:rFonts w:ascii="Arial" w:cs="Arial" w:eastAsia="Arial" w:hAnsi="Arial"/>
          <w:sz w:val="17"/>
          <w:szCs w:val="17"/>
          <w:b w:val="1"/>
          <w:bCs w:val="1"/>
          <w:color w:val="auto"/>
        </w:rPr>
      </w:pPr>
    </w:p>
    <w:p>
      <w:pPr>
        <w:jc w:val="both"/>
        <w:ind w:firstLine="1297"/>
        <w:spacing w:after="0" w:line="254" w:lineRule="auto"/>
        <w:tabs>
          <w:tab w:leader="none" w:pos="1767" w:val="left"/>
        </w:tabs>
        <w:numPr>
          <w:ilvl w:val="1"/>
          <w:numId w:val="72"/>
        </w:numPr>
        <w:rPr>
          <w:rFonts w:ascii="Arial" w:cs="Arial" w:eastAsia="Arial" w:hAnsi="Arial"/>
          <w:sz w:val="18"/>
          <w:szCs w:val="18"/>
          <w:b w:val="1"/>
          <w:bCs w:val="1"/>
          <w:color w:val="auto"/>
        </w:rPr>
      </w:pPr>
      <w:r>
        <w:rPr>
          <w:rFonts w:ascii="Arial" w:cs="Arial" w:eastAsia="Arial" w:hAnsi="Arial"/>
          <w:sz w:val="18"/>
          <w:szCs w:val="18"/>
          <w:color w:val="auto"/>
        </w:rPr>
        <w:t>To effect, with the consent of any adversely affected Participant, (A) the reduction of the exercise, purchase or strike price of any outstanding Stock Award; (B) the cancellation of any outstanding Stock Award and the grant in substitution therefor of a new (1) Option or SAR, (2) Restricted Stock Award, (3) Restricted Stock Unit Award, (4) Other Stock Award, (5) cash award and/or (6) award of other valuable consideration determined by the Board, in its sole discretion, with any such substituted award (x) covering the same or a different number of shares of Common Stock as the cancelled Stock Award and (y) granted under the Plan or another equity or compensatory plan of the Company; or (C) any other action that is treated as a repricing under generally accepted accounting principles.</w:t>
      </w:r>
    </w:p>
    <w:p>
      <w:pPr>
        <w:spacing w:after="0" w:line="186" w:lineRule="exact"/>
        <w:rPr>
          <w:rFonts w:ascii="Arial" w:cs="Arial" w:eastAsia="Arial" w:hAnsi="Arial"/>
          <w:sz w:val="18"/>
          <w:szCs w:val="18"/>
          <w:b w:val="1"/>
          <w:bCs w:val="1"/>
          <w:color w:val="auto"/>
        </w:rPr>
      </w:pPr>
    </w:p>
    <w:p>
      <w:pPr>
        <w:ind w:left="1040" w:hanging="388"/>
        <w:spacing w:after="0"/>
        <w:tabs>
          <w:tab w:leader="none" w:pos="1040" w:val="left"/>
        </w:tabs>
        <w:numPr>
          <w:ilvl w:val="0"/>
          <w:numId w:val="73"/>
        </w:numPr>
        <w:rPr>
          <w:rFonts w:ascii="Arial" w:cs="Arial" w:eastAsia="Arial" w:hAnsi="Arial"/>
          <w:sz w:val="18"/>
          <w:szCs w:val="18"/>
          <w:b w:val="1"/>
          <w:bCs w:val="1"/>
          <w:color w:val="auto"/>
        </w:rPr>
      </w:pPr>
      <w:r>
        <w:rPr>
          <w:rFonts w:ascii="Arial" w:cs="Arial" w:eastAsia="Arial" w:hAnsi="Arial"/>
          <w:sz w:val="18"/>
          <w:szCs w:val="18"/>
          <w:b w:val="1"/>
          <w:bCs w:val="1"/>
          <w:color w:val="auto"/>
        </w:rPr>
        <w:t>Delegation to Committee.</w:t>
      </w:r>
    </w:p>
    <w:p>
      <w:pPr>
        <w:spacing w:after="0" w:line="222" w:lineRule="exact"/>
        <w:rPr>
          <w:rFonts w:ascii="Arial" w:cs="Arial" w:eastAsia="Arial" w:hAnsi="Arial"/>
          <w:sz w:val="18"/>
          <w:szCs w:val="18"/>
          <w:b w:val="1"/>
          <w:bCs w:val="1"/>
          <w:color w:val="auto"/>
        </w:rPr>
      </w:pPr>
    </w:p>
    <w:p>
      <w:pPr>
        <w:jc w:val="both"/>
        <w:ind w:firstLine="1297"/>
        <w:spacing w:after="0" w:line="271" w:lineRule="auto"/>
        <w:tabs>
          <w:tab w:leader="none" w:pos="1665"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General. </w:t>
      </w:r>
      <w:r>
        <w:rPr>
          <w:rFonts w:ascii="Arial" w:cs="Arial" w:eastAsia="Arial" w:hAnsi="Arial"/>
          <w:sz w:val="17"/>
          <w:szCs w:val="17"/>
          <w:color w:val="auto"/>
        </w:rPr>
        <w:t>The Board may delegate some or all of the administration of the Plan to a Committee or Committees. If administration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the Plan is delegated to a Committee, the Committee will have, in connection with the administration of the Plan, the powers theretofore possessed by the Board that have been delegated to the Committee, including the power to delegate to a subcommittee of the Committee any of the administrative powers the Committee is authorized to exercise (and references in this Plan to the Board will thereafter be to the Committee or subcommittee, as applicable). Any delegation of administrative powers will be reflected in resolutions, not inconsistent with the provisions of the Plan, adopted from time to time by the Board or Committee (as applicable). The Board may retain the authority to concurrently administer the Plan with the Committee and may, at any time, revest in the Board some or all of the powers previously delegated.</w:t>
      </w:r>
    </w:p>
    <w:p>
      <w:pPr>
        <w:spacing w:after="0" w:line="174" w:lineRule="exact"/>
        <w:rPr>
          <w:rFonts w:ascii="Arial" w:cs="Arial" w:eastAsia="Arial" w:hAnsi="Arial"/>
          <w:sz w:val="17"/>
          <w:szCs w:val="17"/>
          <w:b w:val="1"/>
          <w:bCs w:val="1"/>
          <w:color w:val="auto"/>
        </w:rPr>
      </w:pPr>
    </w:p>
    <w:p>
      <w:pPr>
        <w:jc w:val="both"/>
        <w:ind w:firstLine="1297"/>
        <w:spacing w:after="0" w:line="279" w:lineRule="auto"/>
        <w:tabs>
          <w:tab w:leader="none" w:pos="1715" w:val="left"/>
        </w:tabs>
        <w:numPr>
          <w:ilvl w:val="1"/>
          <w:numId w:val="7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Rule 16b-3 Compliance. </w:t>
      </w:r>
      <w:r>
        <w:rPr>
          <w:rFonts w:ascii="Arial" w:cs="Arial" w:eastAsia="Arial" w:hAnsi="Arial"/>
          <w:sz w:val="17"/>
          <w:szCs w:val="17"/>
          <w:color w:val="auto"/>
        </w:rPr>
        <w:t>To the extent an Award is intended to qualify for the exemption from Section 16(b) of the Exchange Act</w:t>
      </w:r>
      <w:r>
        <w:rPr>
          <w:rFonts w:ascii="Arial" w:cs="Arial" w:eastAsia="Arial" w:hAnsi="Arial"/>
          <w:sz w:val="17"/>
          <w:szCs w:val="17"/>
          <w:b w:val="1"/>
          <w:bCs w:val="1"/>
          <w:color w:val="auto"/>
        </w:rPr>
        <w:t xml:space="preserve"> </w:t>
      </w:r>
      <w:r>
        <w:rPr>
          <w:rFonts w:ascii="Arial" w:cs="Arial" w:eastAsia="Arial" w:hAnsi="Arial"/>
          <w:sz w:val="17"/>
          <w:szCs w:val="17"/>
          <w:color w:val="auto"/>
        </w:rPr>
        <w:t>that is available under Rule 16b-3 of the Exchange Act, the Award will be granted by the Board or a Committee that consists solely of two or more Non-Employee Directors, as determined under Rule 16b-3(b)(3) of the Exchange Act and thereafter any action establishing or modifying the terms of the Award will be approved by the Board or a Committee, meeting such requirements to the extent necessary for such exemption to remain available.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18" w:name="page119"/>
    <w:bookmarkEnd w:id="118"/>
    <w:p>
      <w:pPr>
        <w:jc w:val="both"/>
        <w:ind w:left="-7" w:firstLine="652"/>
        <w:spacing w:after="0" w:line="270" w:lineRule="auto"/>
        <w:tabs>
          <w:tab w:leader="none" w:pos="1059" w:val="left"/>
        </w:tabs>
        <w:numPr>
          <w:ilvl w:val="1"/>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Delegation to an Officer. </w:t>
      </w:r>
      <w:r>
        <w:rPr>
          <w:rFonts w:ascii="Arial" w:cs="Arial" w:eastAsia="Arial" w:hAnsi="Arial"/>
          <w:sz w:val="17"/>
          <w:szCs w:val="17"/>
          <w:color w:val="auto"/>
        </w:rPr>
        <w:t>The Board may delegate to one (1) or more Officers the authority to do one or both of the following (i) designate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Employees who are not Officers to be recipients of Options and SARs (and, to the extent permitted by applicable law, other Stock Awards) and, to the extent permitted by applicable law, the terms of such Awards, and (ii) determine the number of shares of Common Stock to be subject to such Stock Awards granted to such Employees;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resolutions regarding such delegation will specify the total number of shares of Common Stock that may be subject to the Stock Awards granted by such Officer and that such Officer may not grant a Stock Award to himself or herself. Any such Stock Awards will be granted on the form of Stock Award Agreement most recently approved for use by the Committee or the Board, unless otherwise provided in the resolutions approving the delegation authority. The Board may not delegate authority to an Officer who is acting solely in the capacity of an Officer (and not also as a Director) to determine the Fair Market Value pursuant to Section 13(x)(iii) below.</w:t>
      </w:r>
    </w:p>
    <w:p>
      <w:pPr>
        <w:spacing w:after="0" w:line="175" w:lineRule="exact"/>
        <w:rPr>
          <w:rFonts w:ascii="Arial" w:cs="Arial" w:eastAsia="Arial" w:hAnsi="Arial"/>
          <w:sz w:val="17"/>
          <w:szCs w:val="17"/>
          <w:b w:val="1"/>
          <w:bCs w:val="1"/>
          <w:color w:val="auto"/>
        </w:rPr>
      </w:pPr>
    </w:p>
    <w:p>
      <w:pPr>
        <w:ind w:left="-7" w:firstLine="652"/>
        <w:spacing w:after="0" w:line="280" w:lineRule="auto"/>
        <w:tabs>
          <w:tab w:leader="none" w:pos="1087" w:val="left"/>
        </w:tabs>
        <w:numPr>
          <w:ilvl w:val="1"/>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Effect of Board</w:t>
      </w:r>
      <w:r>
        <w:rPr>
          <w:rFonts w:ascii="Arial" w:cs="Arial" w:eastAsia="Arial" w:hAnsi="Arial"/>
          <w:sz w:val="18"/>
          <w:szCs w:val="18"/>
          <w:color w:val="auto"/>
        </w:rPr>
        <w:t>’</w:t>
      </w:r>
      <w:r>
        <w:rPr>
          <w:rFonts w:ascii="Arial" w:cs="Arial" w:eastAsia="Arial" w:hAnsi="Arial"/>
          <w:sz w:val="18"/>
          <w:szCs w:val="18"/>
          <w:b w:val="1"/>
          <w:bCs w:val="1"/>
          <w:color w:val="auto"/>
        </w:rPr>
        <w:t xml:space="preserve">s Decision. </w:t>
      </w:r>
      <w:r>
        <w:rPr>
          <w:rFonts w:ascii="Arial" w:cs="Arial" w:eastAsia="Arial" w:hAnsi="Arial"/>
          <w:sz w:val="18"/>
          <w:szCs w:val="18"/>
          <w:color w:val="auto"/>
        </w:rPr>
        <w:t>All determinations, interpretations and constructions made by the Board in good faith will not be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review by any person and will be final, binding and conclusive on all persons.</w:t>
      </w:r>
    </w:p>
    <w:p>
      <w:pPr>
        <w:spacing w:after="0" w:line="161" w:lineRule="exact"/>
        <w:rPr>
          <w:rFonts w:ascii="Arial" w:cs="Arial" w:eastAsia="Arial" w:hAnsi="Arial"/>
          <w:sz w:val="18"/>
          <w:szCs w:val="18"/>
          <w:b w:val="1"/>
          <w:bCs w:val="1"/>
          <w:color w:val="auto"/>
        </w:rPr>
      </w:pPr>
    </w:p>
    <w:p>
      <w:pPr>
        <w:ind w:left="313" w:hanging="313"/>
        <w:spacing w:after="0"/>
        <w:tabs>
          <w:tab w:leader="none" w:pos="313" w:val="left"/>
        </w:tabs>
        <w:numPr>
          <w:ilvl w:val="0"/>
          <w:numId w:val="75"/>
        </w:numPr>
        <w:rPr>
          <w:rFonts w:ascii="Arial" w:cs="Arial" w:eastAsia="Arial" w:hAnsi="Arial"/>
          <w:sz w:val="18"/>
          <w:szCs w:val="18"/>
          <w:b w:val="1"/>
          <w:bCs w:val="1"/>
          <w:color w:val="auto"/>
        </w:rPr>
      </w:pPr>
      <w:r>
        <w:rPr>
          <w:rFonts w:ascii="Arial" w:cs="Arial" w:eastAsia="Arial" w:hAnsi="Arial"/>
          <w:sz w:val="18"/>
          <w:szCs w:val="18"/>
          <w:b w:val="1"/>
          <w:bCs w:val="1"/>
          <w:color w:val="auto"/>
        </w:rPr>
        <w:t>Shares Subject to the Plan.</w:t>
      </w:r>
    </w:p>
    <w:p>
      <w:pPr>
        <w:spacing w:after="0" w:line="222" w:lineRule="exact"/>
        <w:rPr>
          <w:rFonts w:ascii="Arial" w:cs="Arial" w:eastAsia="Arial" w:hAnsi="Arial"/>
          <w:sz w:val="18"/>
          <w:szCs w:val="18"/>
          <w:b w:val="1"/>
          <w:bCs w:val="1"/>
          <w:color w:val="auto"/>
        </w:rPr>
      </w:pPr>
    </w:p>
    <w:p>
      <w:pPr>
        <w:jc w:val="both"/>
        <w:ind w:left="-7" w:firstLine="652"/>
        <w:spacing w:after="0" w:line="235" w:lineRule="auto"/>
        <w:tabs>
          <w:tab w:leader="none" w:pos="1043" w:val="left"/>
        </w:tabs>
        <w:numPr>
          <w:ilvl w:val="1"/>
          <w:numId w:val="7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Share Reserve. </w:t>
      </w:r>
      <w:r>
        <w:rPr>
          <w:rFonts w:ascii="Arial" w:cs="Arial" w:eastAsia="Arial" w:hAnsi="Arial"/>
          <w:sz w:val="17"/>
          <w:szCs w:val="17"/>
          <w:color w:val="auto"/>
        </w:rPr>
        <w:t>Subject to Section 9(a) relating to Capitalization Adjustments, and the following sentence regarding the annual increase, the</w:t>
      </w:r>
      <w:r>
        <w:rPr>
          <w:rFonts w:ascii="Arial" w:cs="Arial" w:eastAsia="Arial" w:hAnsi="Arial"/>
          <w:sz w:val="17"/>
          <w:szCs w:val="17"/>
          <w:b w:val="1"/>
          <w:bCs w:val="1"/>
          <w:color w:val="auto"/>
        </w:rPr>
        <w:t xml:space="preserve"> </w:t>
      </w:r>
      <w:r>
        <w:rPr>
          <w:rFonts w:ascii="Arial" w:cs="Arial" w:eastAsia="Arial" w:hAnsi="Arial"/>
          <w:sz w:val="17"/>
          <w:szCs w:val="17"/>
          <w:color w:val="auto"/>
        </w:rPr>
        <w:t>aggregate number of shares of Common Stock that may be issued pursuant to Stock Awards will not exceed (A) 5,129,317, which number consists of (i) the number of unallocated shares (229,317) remaining available for grant under the 2014 Plans as of 12:01 a.m., Pacific Time on the Effective Date, and (ii) 4,900,000 new shares, and (B) the number of shares, if any, subject to outstanding stock awards granted under the 2014 Plan that, from and after the Effective Date, (i) expire or terminate for any reason prior to exercise or settlement, (ii) are forfeited, cancelled or otherwise returned to the Company because of the failure to meet a contingency or condition required for the vesting of such shares, or (iii) are reacquired or withheld (or not issued) by us to satisfy a tax withholding obligation in connection with a stock award (collectively the “</w:t>
      </w:r>
      <w:r>
        <w:rPr>
          <w:rFonts w:ascii="Arial" w:cs="Arial" w:eastAsia="Arial" w:hAnsi="Arial"/>
          <w:sz w:val="17"/>
          <w:szCs w:val="17"/>
          <w:b w:val="1"/>
          <w:bCs w:val="1"/>
          <w:i w:val="1"/>
          <w:iCs w:val="1"/>
          <w:color w:val="auto"/>
        </w:rPr>
        <w:t>Share Reserve</w:t>
      </w:r>
      <w:r>
        <w:rPr>
          <w:rFonts w:ascii="Arial" w:cs="Arial" w:eastAsia="Arial" w:hAnsi="Arial"/>
          <w:sz w:val="17"/>
          <w:szCs w:val="17"/>
          <w:color w:val="auto"/>
        </w:rPr>
        <w:t>”). In addition, the Share Reserve will automatically increase on January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each year, for a period of not more than ten years, commencing on January 1, 2022 and ending on (and including) January 1, 2031, in an amount equal to 4.0% of the total number of shares of Capital Stock outstanding on December 31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the preceding calendar year. Notwithstanding the foregoing, the Board may act prior to January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of a given year to provide that there will be no January 1</w:t>
      </w:r>
      <w:r>
        <w:rPr>
          <w:rFonts w:ascii="Arial" w:cs="Arial" w:eastAsia="Arial" w:hAnsi="Arial"/>
          <w:sz w:val="28"/>
          <w:szCs w:val="28"/>
          <w:color w:val="auto"/>
          <w:vertAlign w:val="superscript"/>
        </w:rPr>
        <w:t>st</w:t>
      </w:r>
      <w:r>
        <w:rPr>
          <w:rFonts w:ascii="Arial" w:cs="Arial" w:eastAsia="Arial" w:hAnsi="Arial"/>
          <w:sz w:val="17"/>
          <w:szCs w:val="17"/>
          <w:color w:val="auto"/>
        </w:rPr>
        <w:t xml:space="preserve"> increase in the Share Reserve for such year or that the increase in the Share Reserve for such year will be a lesser number of shares of Common Stock than would otherwise occur pursuant to the preceding sentence. For clarity, the Share Reserve is a limitation on the number of shares of Common Stock that may be issued under the Plan. Accordingly, this Section 3(a) does not limit the granting of Stock Awards except as provided in Section 7(a). Shares may be issued in connection with a merger or acquisition as permitted by NASDAQ Listing Rule 5635(c) or other applicable rule, and such issuance will not reduce the number of shares available for issuance under the Plan.</w:t>
      </w:r>
    </w:p>
    <w:p>
      <w:pPr>
        <w:spacing w:after="0" w:line="20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578" w:right="339" w:bottom="1440" w:gutter="0" w:footer="0" w:header="0"/>
        </w:sectPr>
      </w:pPr>
    </w:p>
    <w:bookmarkStart w:id="119" w:name="page120"/>
    <w:bookmarkEnd w:id="119"/>
    <w:p>
      <w:pPr>
        <w:jc w:val="both"/>
        <w:ind w:firstLine="652"/>
        <w:spacing w:after="0" w:line="291" w:lineRule="auto"/>
        <w:tabs>
          <w:tab w:leader="none" w:pos="1097"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Reversion of Shares to the Share Reserve. </w:t>
      </w:r>
      <w:r>
        <w:rPr>
          <w:rFonts w:ascii="Arial" w:cs="Arial" w:eastAsia="Arial" w:hAnsi="Arial"/>
          <w:sz w:val="16"/>
          <w:szCs w:val="16"/>
          <w:color w:val="auto"/>
        </w:rPr>
        <w:t>If a Stock Award or any portion thereof (i) expires or otherwise terminates without all of the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covered by such Stock Award having been issued or (ii) is settled in cash (</w:t>
      </w:r>
      <w:r>
        <w:rPr>
          <w:rFonts w:ascii="Arial" w:cs="Arial" w:eastAsia="Arial" w:hAnsi="Arial"/>
          <w:sz w:val="16"/>
          <w:szCs w:val="16"/>
          <w:i w:val="1"/>
          <w:iCs w:val="1"/>
          <w:color w:val="auto"/>
        </w:rPr>
        <w:t>i.e.</w:t>
      </w:r>
      <w:r>
        <w:rPr>
          <w:rFonts w:ascii="Arial" w:cs="Arial" w:eastAsia="Arial" w:hAnsi="Arial"/>
          <w:sz w:val="16"/>
          <w:szCs w:val="16"/>
          <w:color w:val="auto"/>
        </w:rPr>
        <w:t>, the Participant receives cash rather than stock), such expiration, termination or settlement will not reduce (or otherwise offset) the number of shares of Common Stock that may be available for issuance under the Plan. If any shares of Common Stock issued pursuant to a Stock Award are forfeited back to or repurchased by the Company because of the failure to meet a contingency or condition required to vest such shares in the Participant, then the shares that are forfeited or repurchased will revert to and again become available for issuance under the Plan. Any shares reacquired by the Company in satisfaction of tax withholding obligations on a Stock Award or as consideration for the exercise or purchase price of a Stock Award will again become available for issuance under the Plan.</w:t>
      </w:r>
    </w:p>
    <w:p>
      <w:pPr>
        <w:spacing w:after="0" w:line="158" w:lineRule="exact"/>
        <w:rPr>
          <w:rFonts w:ascii="Arial" w:cs="Arial" w:eastAsia="Arial" w:hAnsi="Arial"/>
          <w:sz w:val="16"/>
          <w:szCs w:val="16"/>
          <w:b w:val="1"/>
          <w:bCs w:val="1"/>
          <w:color w:val="auto"/>
        </w:rPr>
      </w:pPr>
    </w:p>
    <w:p>
      <w:pPr>
        <w:ind w:firstLine="652"/>
        <w:spacing w:after="0" w:line="345" w:lineRule="auto"/>
        <w:tabs>
          <w:tab w:leader="none" w:pos="1097"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 </w:t>
      </w:r>
      <w:r>
        <w:rPr>
          <w:rFonts w:ascii="Arial" w:cs="Arial" w:eastAsia="Arial" w:hAnsi="Arial"/>
          <w:sz w:val="16"/>
          <w:szCs w:val="16"/>
          <w:color w:val="auto"/>
        </w:rPr>
        <w:t>Subject to the provisions of Section 9(a) relating to Capitalization Adjustments, the aggregate maximum</w:t>
      </w:r>
      <w:r>
        <w:rPr>
          <w:rFonts w:ascii="Arial" w:cs="Arial" w:eastAsia="Arial" w:hAnsi="Arial"/>
          <w:sz w:val="16"/>
          <w:szCs w:val="16"/>
          <w:b w:val="1"/>
          <w:bCs w:val="1"/>
          <w:color w:val="auto"/>
        </w:rPr>
        <w:t xml:space="preserve"> </w:t>
      </w:r>
      <w:r>
        <w:rPr>
          <w:rFonts w:ascii="Arial" w:cs="Arial" w:eastAsia="Arial" w:hAnsi="Arial"/>
          <w:sz w:val="16"/>
          <w:szCs w:val="16"/>
          <w:color w:val="auto"/>
        </w:rPr>
        <w:t>number of shares of Common Stock that may be issued pursuant to the exercise of Incentive Stock Options will be 13,600,000 shares of Common Stock.</w:t>
      </w:r>
    </w:p>
    <w:p>
      <w:pPr>
        <w:spacing w:after="0" w:line="115" w:lineRule="exact"/>
        <w:rPr>
          <w:rFonts w:ascii="Arial" w:cs="Arial" w:eastAsia="Arial" w:hAnsi="Arial"/>
          <w:sz w:val="16"/>
          <w:szCs w:val="16"/>
          <w:b w:val="1"/>
          <w:bCs w:val="1"/>
          <w:color w:val="auto"/>
        </w:rPr>
      </w:pPr>
    </w:p>
    <w:p>
      <w:pPr>
        <w:jc w:val="both"/>
        <w:ind w:firstLine="652"/>
        <w:spacing w:after="0" w:line="302" w:lineRule="auto"/>
        <w:tabs>
          <w:tab w:leader="none" w:pos="1066" w:val="left"/>
        </w:tabs>
        <w:numPr>
          <w:ilvl w:val="1"/>
          <w:numId w:val="76"/>
        </w:numPr>
        <w:rPr>
          <w:rFonts w:ascii="Arial" w:cs="Arial" w:eastAsia="Arial" w:hAnsi="Arial"/>
          <w:sz w:val="16"/>
          <w:szCs w:val="16"/>
          <w:b w:val="1"/>
          <w:bCs w:val="1"/>
          <w:color w:val="auto"/>
        </w:rPr>
      </w:pPr>
      <w:r>
        <w:rPr>
          <w:rFonts w:ascii="Arial" w:cs="Arial" w:eastAsia="Arial" w:hAnsi="Arial"/>
          <w:sz w:val="16"/>
          <w:szCs w:val="16"/>
          <w:b w:val="1"/>
          <w:bCs w:val="1"/>
          <w:color w:val="auto"/>
        </w:rPr>
        <w:t>Non-Employee Director Compensation Limitation</w:t>
      </w:r>
      <w:r>
        <w:rPr>
          <w:rFonts w:ascii="Arial" w:cs="Arial" w:eastAsia="Arial" w:hAnsi="Arial"/>
          <w:sz w:val="16"/>
          <w:szCs w:val="16"/>
          <w:color w:val="auto"/>
        </w:rPr>
        <w:t>. In addition, the maximum number of shares subject to awards granted during a single</w:t>
      </w:r>
      <w:r>
        <w:rPr>
          <w:rFonts w:ascii="Arial" w:cs="Arial" w:eastAsia="Arial" w:hAnsi="Arial"/>
          <w:sz w:val="16"/>
          <w:szCs w:val="16"/>
          <w:b w:val="1"/>
          <w:bCs w:val="1"/>
          <w:color w:val="auto"/>
        </w:rPr>
        <w:t xml:space="preserve"> </w:t>
      </w:r>
      <w:r>
        <w:rPr>
          <w:rFonts w:ascii="Arial" w:cs="Arial" w:eastAsia="Arial" w:hAnsi="Arial"/>
          <w:sz w:val="16"/>
          <w:szCs w:val="16"/>
          <w:color w:val="auto"/>
        </w:rPr>
        <w:t>fiscal year to any non-employee director, taken together with any cash fees paid to such non-employee director during the fiscal year, shall not exceed $500,000 in total value (calculating the value of any such awards based on the grant date fair value of such awards for financial reporting purposes and excluding, for this purpose, the value of any dividend equivalent payments paid pursuant to any award granted in a previous fiscal year).</w:t>
      </w:r>
    </w:p>
    <w:p>
      <w:pPr>
        <w:spacing w:after="0" w:line="148" w:lineRule="exact"/>
        <w:rPr>
          <w:rFonts w:ascii="Arial" w:cs="Arial" w:eastAsia="Arial" w:hAnsi="Arial"/>
          <w:sz w:val="16"/>
          <w:szCs w:val="16"/>
          <w:b w:val="1"/>
          <w:bCs w:val="1"/>
          <w:color w:val="auto"/>
        </w:rPr>
      </w:pPr>
    </w:p>
    <w:p>
      <w:pPr>
        <w:ind w:firstLine="652"/>
        <w:spacing w:after="0" w:line="280" w:lineRule="auto"/>
        <w:tabs>
          <w:tab w:leader="none" w:pos="1032" w:val="left"/>
        </w:tabs>
        <w:numPr>
          <w:ilvl w:val="1"/>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Source of Shares. </w:t>
      </w:r>
      <w:r>
        <w:rPr>
          <w:rFonts w:ascii="Arial" w:cs="Arial" w:eastAsia="Arial" w:hAnsi="Arial"/>
          <w:sz w:val="18"/>
          <w:szCs w:val="18"/>
          <w:color w:val="auto"/>
        </w:rPr>
        <w:t>The stock issuable under the Plan will be shares of authorized but unissued or reacquired Common Stock, including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repurchased by the Company on the open market or otherwise.</w:t>
      </w:r>
    </w:p>
    <w:p>
      <w:pPr>
        <w:spacing w:after="0" w:line="161" w:lineRule="exact"/>
        <w:rPr>
          <w:rFonts w:ascii="Arial" w:cs="Arial" w:eastAsia="Arial" w:hAnsi="Arial"/>
          <w:sz w:val="18"/>
          <w:szCs w:val="18"/>
          <w:b w:val="1"/>
          <w:bCs w:val="1"/>
          <w:color w:val="auto"/>
        </w:rPr>
      </w:pPr>
    </w:p>
    <w:p>
      <w:pPr>
        <w:ind w:left="320" w:hanging="313"/>
        <w:spacing w:after="0"/>
        <w:tabs>
          <w:tab w:leader="none" w:pos="32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222" w:lineRule="exact"/>
        <w:rPr>
          <w:rFonts w:ascii="Arial" w:cs="Arial" w:eastAsia="Arial" w:hAnsi="Arial"/>
          <w:sz w:val="18"/>
          <w:szCs w:val="18"/>
          <w:b w:val="1"/>
          <w:bCs w:val="1"/>
          <w:color w:val="auto"/>
        </w:rPr>
      </w:pPr>
    </w:p>
    <w:p>
      <w:pPr>
        <w:jc w:val="both"/>
        <w:ind w:firstLine="652"/>
        <w:spacing w:after="0" w:line="289" w:lineRule="auto"/>
        <w:tabs>
          <w:tab w:leader="none" w:pos="1040"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Eligibility for Specific Stock Awards</w:t>
      </w:r>
      <w:r>
        <w:rPr>
          <w:rFonts w:ascii="Arial" w:cs="Arial" w:eastAsia="Arial" w:hAnsi="Arial"/>
          <w:sz w:val="16"/>
          <w:szCs w:val="16"/>
          <w:color w:val="auto"/>
        </w:rPr>
        <w:t>. Incentive Stock Options may be granted only to employees of the Company or a “parent corporation”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or “subsidiary corporation” thereof (as such terms are defined in Sections 424(e) and 424(f) of the Code). Stock Awards other than Incentive Stock Options may be granted to Employees, Directors and Consultants; </w:t>
      </w:r>
      <w:r>
        <w:rPr>
          <w:rFonts w:ascii="Arial" w:cs="Arial" w:eastAsia="Arial" w:hAnsi="Arial"/>
          <w:sz w:val="16"/>
          <w:szCs w:val="16"/>
          <w:i w:val="1"/>
          <w:iCs w:val="1"/>
          <w:color w:val="auto"/>
        </w:rPr>
        <w:t>provided, however</w:t>
      </w:r>
      <w:r>
        <w:rPr>
          <w:rFonts w:ascii="Arial" w:cs="Arial" w:eastAsia="Arial" w:hAnsi="Arial"/>
          <w:sz w:val="16"/>
          <w:szCs w:val="16"/>
          <w:color w:val="auto"/>
        </w:rPr>
        <w:t>, that Stock Awards may not be granted to Employees, Directors and Consultants who are providing Continuous Service only to any “parent” of the Company, as such term is defined in Rule 405 of the Securities Act, unless (i) the stock underlying such Stock Awards is treated as “service recipient stock” under Section 409A of the Code (for example, because the Stock Awards are granted pursuant to a corporate transaction such as a spin off transaction), (ii) the Company, in consultation with its legal counsel, has determined that such Stock Awards are otherwise exempt from Section 409A of the Code, or (iii) the Company, in consultation with its legal counsel, has determined that such Stock Awards comply with the distribution requirements of Section 409A of the Code.</w:t>
      </w:r>
    </w:p>
    <w:p>
      <w:pPr>
        <w:spacing w:after="0" w:line="162" w:lineRule="exact"/>
        <w:rPr>
          <w:rFonts w:ascii="Arial" w:cs="Arial" w:eastAsia="Arial" w:hAnsi="Arial"/>
          <w:sz w:val="16"/>
          <w:szCs w:val="16"/>
          <w:b w:val="1"/>
          <w:bCs w:val="1"/>
          <w:color w:val="auto"/>
        </w:rPr>
      </w:pPr>
    </w:p>
    <w:p>
      <w:pPr>
        <w:ind w:firstLine="652"/>
        <w:spacing w:after="0" w:line="345" w:lineRule="auto"/>
        <w:tabs>
          <w:tab w:leader="none" w:pos="1040" w:val="left"/>
        </w:tabs>
        <w:numPr>
          <w:ilvl w:val="1"/>
          <w:numId w:val="7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Ten Percent Stockholders. </w:t>
      </w:r>
      <w:r>
        <w:rPr>
          <w:rFonts w:ascii="Arial" w:cs="Arial" w:eastAsia="Arial" w:hAnsi="Arial"/>
          <w:sz w:val="16"/>
          <w:szCs w:val="16"/>
          <w:color w:val="auto"/>
        </w:rPr>
        <w:t>A Ten Percent Stockholder will not be granted an Incentive Stock Option unless the exercise price of such Option</w:t>
      </w:r>
      <w:r>
        <w:rPr>
          <w:rFonts w:ascii="Arial" w:cs="Arial" w:eastAsia="Arial" w:hAnsi="Arial"/>
          <w:sz w:val="16"/>
          <w:szCs w:val="16"/>
          <w:b w:val="1"/>
          <w:bCs w:val="1"/>
          <w:color w:val="auto"/>
        </w:rPr>
        <w:t xml:space="preserve"> </w:t>
      </w:r>
      <w:r>
        <w:rPr>
          <w:rFonts w:ascii="Arial" w:cs="Arial" w:eastAsia="Arial" w:hAnsi="Arial"/>
          <w:sz w:val="16"/>
          <w:szCs w:val="16"/>
          <w:color w:val="auto"/>
        </w:rPr>
        <w:t>is at least 110% of the Fair Market Value on the date of grant and the Option is not exercisable after the expiration of five years from the date of grant.</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0" w:name="page121"/>
    <w:bookmarkEnd w:id="120"/>
    <w:p>
      <w:pPr>
        <w:spacing w:after="0"/>
        <w:tabs>
          <w:tab w:leader="none" w:pos="30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Provisions Relating to Options and Stock Appreciation Rights.</w:t>
      </w:r>
    </w:p>
    <w:p>
      <w:pPr>
        <w:spacing w:after="0" w:line="227" w:lineRule="exact"/>
        <w:rPr>
          <w:sz w:val="20"/>
          <w:szCs w:val="20"/>
          <w:color w:val="auto"/>
        </w:rPr>
      </w:pPr>
    </w:p>
    <w:p>
      <w:pPr>
        <w:jc w:val="both"/>
        <w:ind w:firstLine="645"/>
        <w:spacing w:after="0" w:line="270" w:lineRule="auto"/>
        <w:rPr>
          <w:sz w:val="20"/>
          <w:szCs w:val="20"/>
          <w:color w:val="auto"/>
        </w:rPr>
      </w:pPr>
      <w:r>
        <w:rPr>
          <w:rFonts w:ascii="Arial" w:cs="Arial" w:eastAsia="Arial" w:hAnsi="Arial"/>
          <w:sz w:val="17"/>
          <w:szCs w:val="17"/>
          <w:color w:val="auto"/>
        </w:rPr>
        <w:t xml:space="preserve">Each Option or SAR will be in such form and will contain such terms and conditions as the Board deems appropriate. All Options will be separately designated Incentive Stock Options or Nonstatutory Stock Options at the time of grant, and, if certificates are issued, a separate certificate or certificates will be issued for shares of Common Stock purchased on exercise of each type of Option. If an Option is not specifically designated as an Incentive Stock Option, or if an Option is designated as an Incentive Stock Option but some portion or all of the Option fails to qualify as an Incentive Stock Option under the applicable rules, then the Option (or portion thereof) will be a Nonstatutory Stock Option. The provisions of separate Options or SARs need not be identical; </w:t>
      </w:r>
      <w:r>
        <w:rPr>
          <w:rFonts w:ascii="Arial" w:cs="Arial" w:eastAsia="Arial" w:hAnsi="Arial"/>
          <w:sz w:val="17"/>
          <w:szCs w:val="17"/>
          <w:i w:val="1"/>
          <w:iCs w:val="1"/>
          <w:color w:val="auto"/>
        </w:rPr>
        <w:t>provided, however</w:t>
      </w:r>
      <w:r>
        <w:rPr>
          <w:rFonts w:ascii="Arial" w:cs="Arial" w:eastAsia="Arial" w:hAnsi="Arial"/>
          <w:sz w:val="17"/>
          <w:szCs w:val="17"/>
          <w:color w:val="auto"/>
        </w:rPr>
        <w:t>, that each Award Agreement will conform to (through incorporation of provisions hereof by reference in the applicable Award Agreement or otherwise) the substance of each of the following provisions:</w:t>
      </w:r>
    </w:p>
    <w:p>
      <w:pPr>
        <w:spacing w:after="0" w:line="177" w:lineRule="exact"/>
        <w:rPr>
          <w:sz w:val="20"/>
          <w:szCs w:val="20"/>
          <w:color w:val="auto"/>
        </w:rPr>
      </w:pPr>
    </w:p>
    <w:p>
      <w:pPr>
        <w:ind w:right="20" w:firstLine="652"/>
        <w:spacing w:after="0" w:line="280" w:lineRule="auto"/>
        <w:tabs>
          <w:tab w:leader="none" w:pos="1030"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 </w:t>
      </w:r>
      <w:r>
        <w:rPr>
          <w:rFonts w:ascii="Arial" w:cs="Arial" w:eastAsia="Arial" w:hAnsi="Arial"/>
          <w:sz w:val="18"/>
          <w:szCs w:val="18"/>
          <w:color w:val="auto"/>
        </w:rPr>
        <w:t>Subject to the provisions of Section 4(b) regarding Ten Percent Stockholders, no Option or SAR will be exercisable after the expiration</w:t>
      </w:r>
      <w:r>
        <w:rPr>
          <w:rFonts w:ascii="Arial" w:cs="Arial" w:eastAsia="Arial" w:hAnsi="Arial"/>
          <w:sz w:val="18"/>
          <w:szCs w:val="18"/>
          <w:b w:val="1"/>
          <w:bCs w:val="1"/>
          <w:color w:val="auto"/>
        </w:rPr>
        <w:t xml:space="preserve"> </w:t>
      </w:r>
      <w:r>
        <w:rPr>
          <w:rFonts w:ascii="Arial" w:cs="Arial" w:eastAsia="Arial" w:hAnsi="Arial"/>
          <w:sz w:val="18"/>
          <w:szCs w:val="18"/>
          <w:color w:val="auto"/>
        </w:rPr>
        <w:t>of ten years from the date of its grant or such shorter period specified in the Award Agreement.</w:t>
      </w:r>
    </w:p>
    <w:p>
      <w:pPr>
        <w:spacing w:after="0" w:line="161" w:lineRule="exact"/>
        <w:rPr>
          <w:rFonts w:ascii="Arial" w:cs="Arial" w:eastAsia="Arial" w:hAnsi="Arial"/>
          <w:sz w:val="18"/>
          <w:szCs w:val="18"/>
          <w:b w:val="1"/>
          <w:bCs w:val="1"/>
          <w:color w:val="auto"/>
        </w:rPr>
      </w:pPr>
    </w:p>
    <w:p>
      <w:pPr>
        <w:jc w:val="both"/>
        <w:ind w:firstLine="652"/>
        <w:spacing w:after="0" w:line="255" w:lineRule="auto"/>
        <w:tabs>
          <w:tab w:leader="none" w:pos="1075"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Exercise Price. </w:t>
      </w:r>
      <w:r>
        <w:rPr>
          <w:rFonts w:ascii="Arial" w:cs="Arial" w:eastAsia="Arial" w:hAnsi="Arial"/>
          <w:sz w:val="18"/>
          <w:szCs w:val="18"/>
          <w:color w:val="auto"/>
        </w:rPr>
        <w:t>Subject to the provisions of Section 4(b) regarding Ten Percent Stockholders, the exercise or strike price of each Option or</w:t>
      </w:r>
      <w:r>
        <w:rPr>
          <w:rFonts w:ascii="Arial" w:cs="Arial" w:eastAsia="Arial" w:hAnsi="Arial"/>
          <w:sz w:val="18"/>
          <w:szCs w:val="18"/>
          <w:b w:val="1"/>
          <w:bCs w:val="1"/>
          <w:color w:val="auto"/>
        </w:rPr>
        <w:t xml:space="preserve"> </w:t>
      </w:r>
      <w:r>
        <w:rPr>
          <w:rFonts w:ascii="Arial" w:cs="Arial" w:eastAsia="Arial" w:hAnsi="Arial"/>
          <w:sz w:val="18"/>
          <w:szCs w:val="18"/>
          <w:color w:val="auto"/>
        </w:rPr>
        <w:t>SAR will be not less than 100% of the Fair Market Value of the Common Stock subject to the Option or SAR on the date the Award is granted. Notwithstanding the foregoing, an Option or SAR may be granted with an exercise or strike price lower than 100% of the Fair Market Value of the Common Stock subject to the Award if such Award is granted pursuant to an assumption of or substitution for another option or stock appreciation right pursuant to a Corporate Transaction and in a manner consistent with the provisions of Section 409A and, if applicable, Section 424(a) of the Code. Each SAR will be denominated in shares of Common Stock equivalents.</w:t>
      </w:r>
    </w:p>
    <w:p>
      <w:pPr>
        <w:spacing w:after="0" w:line="185" w:lineRule="exact"/>
        <w:rPr>
          <w:rFonts w:ascii="Arial" w:cs="Arial" w:eastAsia="Arial" w:hAnsi="Arial"/>
          <w:sz w:val="18"/>
          <w:szCs w:val="18"/>
          <w:b w:val="1"/>
          <w:bCs w:val="1"/>
          <w:color w:val="auto"/>
        </w:rPr>
      </w:pPr>
    </w:p>
    <w:p>
      <w:pPr>
        <w:jc w:val="both"/>
        <w:ind w:firstLine="652"/>
        <w:spacing w:after="0" w:line="302" w:lineRule="auto"/>
        <w:tabs>
          <w:tab w:leader="none" w:pos="1030" w:val="left"/>
        </w:tabs>
        <w:numPr>
          <w:ilvl w:val="0"/>
          <w:numId w:val="7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Purchase Price for Options. </w:t>
      </w:r>
      <w:r>
        <w:rPr>
          <w:rFonts w:ascii="Arial" w:cs="Arial" w:eastAsia="Arial" w:hAnsi="Arial"/>
          <w:sz w:val="16"/>
          <w:szCs w:val="16"/>
          <w:color w:val="auto"/>
        </w:rPr>
        <w:t>The purchase price of Common Stock acquired pursuant to the exercise of an Option may be paid, to the extent</w:t>
      </w:r>
      <w:r>
        <w:rPr>
          <w:rFonts w:ascii="Arial" w:cs="Arial" w:eastAsia="Arial" w:hAnsi="Arial"/>
          <w:sz w:val="16"/>
          <w:szCs w:val="16"/>
          <w:b w:val="1"/>
          <w:bCs w:val="1"/>
          <w:color w:val="auto"/>
        </w:rPr>
        <w:t xml:space="preserve"> </w:t>
      </w:r>
      <w:r>
        <w:rPr>
          <w:rFonts w:ascii="Arial" w:cs="Arial" w:eastAsia="Arial" w:hAnsi="Arial"/>
          <w:sz w:val="16"/>
          <w:szCs w:val="16"/>
          <w:color w:val="auto"/>
        </w:rPr>
        <w:t>permitted by applicable law and as determined by the Board in its sole discretion, by any combination of the methods of payment set forth below. The Board will have the authority to grant Options that do not permit all of the following methods of payment (or otherwise restrict the ability to use certain methods) and to grant Options that require the consent of the Company to use a particular method of payment. The permitted methods of payment are as follows:</w:t>
      </w:r>
    </w:p>
    <w:p>
      <w:pPr>
        <w:spacing w:after="0" w:line="152" w:lineRule="exact"/>
        <w:rPr>
          <w:rFonts w:ascii="Arial" w:cs="Arial" w:eastAsia="Arial" w:hAnsi="Arial"/>
          <w:sz w:val="16"/>
          <w:szCs w:val="16"/>
          <w:b w:val="1"/>
          <w:bCs w:val="1"/>
          <w:color w:val="auto"/>
        </w:rPr>
      </w:pPr>
    </w:p>
    <w:p>
      <w:pPr>
        <w:ind w:left="1640" w:hanging="343"/>
        <w:spacing w:after="0"/>
        <w:tabs>
          <w:tab w:leader="none" w:pos="16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by cash, check, bank draft or money order payable to the Company;</w:t>
      </w:r>
    </w:p>
    <w:p>
      <w:pPr>
        <w:spacing w:after="0" w:line="222" w:lineRule="exact"/>
        <w:rPr>
          <w:rFonts w:ascii="Arial" w:cs="Arial" w:eastAsia="Arial" w:hAnsi="Arial"/>
          <w:sz w:val="18"/>
          <w:szCs w:val="18"/>
          <w:b w:val="1"/>
          <w:bCs w:val="1"/>
          <w:color w:val="auto"/>
        </w:rPr>
      </w:pPr>
    </w:p>
    <w:p>
      <w:pPr>
        <w:jc w:val="both"/>
        <w:ind w:firstLine="1297"/>
        <w:spacing w:after="0" w:line="262" w:lineRule="auto"/>
        <w:tabs>
          <w:tab w:leader="none" w:pos="1707"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pursuant to a program developed under Regulation T as promulgated by the Federal Reserve Board that, prior to the issuance of the stock subject to the Option, results in either the receipt of cash (or check) by the Company or the receipt of irrevocable instructions to pay the aggregate exercise price to the Company from the sales proceeds;</w:t>
      </w:r>
    </w:p>
    <w:p>
      <w:pPr>
        <w:spacing w:after="0" w:line="182" w:lineRule="exact"/>
        <w:rPr>
          <w:rFonts w:ascii="Arial" w:cs="Arial" w:eastAsia="Arial" w:hAnsi="Arial"/>
          <w:sz w:val="18"/>
          <w:szCs w:val="18"/>
          <w:b w:val="1"/>
          <w:bCs w:val="1"/>
          <w:color w:val="auto"/>
        </w:rPr>
      </w:pPr>
    </w:p>
    <w:p>
      <w:pPr>
        <w:ind w:left="1740" w:hanging="443"/>
        <w:spacing w:after="0"/>
        <w:tabs>
          <w:tab w:leader="none" w:pos="1740" w:val="left"/>
        </w:tabs>
        <w:numPr>
          <w:ilvl w:val="1"/>
          <w:numId w:val="78"/>
        </w:numPr>
        <w:rPr>
          <w:rFonts w:ascii="Arial" w:cs="Arial" w:eastAsia="Arial" w:hAnsi="Arial"/>
          <w:sz w:val="18"/>
          <w:szCs w:val="18"/>
          <w:b w:val="1"/>
          <w:bCs w:val="1"/>
          <w:color w:val="auto"/>
        </w:rPr>
      </w:pPr>
      <w:r>
        <w:rPr>
          <w:rFonts w:ascii="Arial" w:cs="Arial" w:eastAsia="Arial" w:hAnsi="Arial"/>
          <w:sz w:val="18"/>
          <w:szCs w:val="18"/>
          <w:color w:val="auto"/>
        </w:rPr>
        <w:t>by delivery to the Company (either by actual delivery or attestation) of shares of Common Stock;</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1" w:name="page122"/>
    <w:bookmarkEnd w:id="121"/>
    <w:p>
      <w:pPr>
        <w:jc w:val="both"/>
        <w:ind w:firstLine="1297"/>
        <w:spacing w:after="0" w:line="253" w:lineRule="auto"/>
        <w:tabs>
          <w:tab w:leader="none" w:pos="1817" w:val="left"/>
        </w:tabs>
        <w:numPr>
          <w:ilvl w:val="1"/>
          <w:numId w:val="79"/>
        </w:numPr>
        <w:rPr>
          <w:rFonts w:ascii="Arial" w:cs="Arial" w:eastAsia="Arial" w:hAnsi="Arial"/>
          <w:sz w:val="18"/>
          <w:szCs w:val="18"/>
          <w:b w:val="1"/>
          <w:bCs w:val="1"/>
          <w:color w:val="auto"/>
        </w:rPr>
      </w:pPr>
      <w:r>
        <w:rPr>
          <w:rFonts w:ascii="Arial" w:cs="Arial" w:eastAsia="Arial" w:hAnsi="Arial"/>
          <w:sz w:val="18"/>
          <w:szCs w:val="18"/>
          <w:color w:val="auto"/>
        </w:rPr>
        <w:t xml:space="preserve">if an Option is a Nonstatutory Stock Option, by a “net exercise” arrangement pursuant to which the Company will reduce the number of shares of Common Stock issuable upon exercise by the largest whole number of shares with a Fair Market Value that does not exceed the aggregate exercise price; </w:t>
      </w:r>
      <w:r>
        <w:rPr>
          <w:rFonts w:ascii="Arial" w:cs="Arial" w:eastAsia="Arial" w:hAnsi="Arial"/>
          <w:sz w:val="18"/>
          <w:szCs w:val="18"/>
          <w:i w:val="1"/>
          <w:iCs w:val="1"/>
          <w:color w:val="auto"/>
        </w:rPr>
        <w:t>provided, however</w:t>
      </w:r>
      <w:r>
        <w:rPr>
          <w:rFonts w:ascii="Arial" w:cs="Arial" w:eastAsia="Arial" w:hAnsi="Arial"/>
          <w:sz w:val="18"/>
          <w:szCs w:val="18"/>
          <w:color w:val="auto"/>
        </w:rPr>
        <w:t>, that the Company will accept a cash or other payment from the Participant to the extent of any remaining balance of the aggregate exercise price not satisfied by such reduction in the number of whole shares to be issued. Shares of Common Stock will no longer be subject to an Option and will not be exercisable thereafter to the extent that (A) shares issuable upon exercise are reduced to pay the exercise price pursuant to the “net exercise,” (B) shares are delivered to the Participant as a result of such exercise, and (C) shares are withheld to satisfy tax withholding obligations; or</w:t>
      </w:r>
    </w:p>
    <w:p>
      <w:pPr>
        <w:spacing w:after="0" w:line="192" w:lineRule="exact"/>
        <w:rPr>
          <w:rFonts w:ascii="Arial" w:cs="Arial" w:eastAsia="Arial" w:hAnsi="Arial"/>
          <w:sz w:val="18"/>
          <w:szCs w:val="18"/>
          <w:b w:val="1"/>
          <w:bCs w:val="1"/>
          <w:color w:val="auto"/>
        </w:rPr>
      </w:pPr>
    </w:p>
    <w:p>
      <w:pPr>
        <w:ind w:left="1680" w:hanging="383"/>
        <w:spacing w:after="0"/>
        <w:tabs>
          <w:tab w:leader="none" w:pos="1680" w:val="left"/>
        </w:tabs>
        <w:numPr>
          <w:ilvl w:val="1"/>
          <w:numId w:val="79"/>
        </w:numPr>
        <w:rPr>
          <w:rFonts w:ascii="Arial" w:cs="Arial" w:eastAsia="Arial" w:hAnsi="Arial"/>
          <w:sz w:val="17"/>
          <w:szCs w:val="17"/>
          <w:b w:val="1"/>
          <w:bCs w:val="1"/>
          <w:color w:val="auto"/>
        </w:rPr>
      </w:pPr>
      <w:r>
        <w:rPr>
          <w:rFonts w:ascii="Arial" w:cs="Arial" w:eastAsia="Arial" w:hAnsi="Arial"/>
          <w:sz w:val="17"/>
          <w:szCs w:val="17"/>
          <w:color w:val="auto"/>
        </w:rPr>
        <w:t>in any other form of legal consideration that may be acceptable to the Board and specified in the applicable Award Agreement.</w:t>
      </w:r>
    </w:p>
    <w:p>
      <w:pPr>
        <w:spacing w:after="0" w:line="230" w:lineRule="exact"/>
        <w:rPr>
          <w:rFonts w:ascii="Arial" w:cs="Arial" w:eastAsia="Arial" w:hAnsi="Arial"/>
          <w:sz w:val="17"/>
          <w:szCs w:val="17"/>
          <w:b w:val="1"/>
          <w:bCs w:val="1"/>
          <w:color w:val="auto"/>
        </w:rPr>
      </w:pPr>
    </w:p>
    <w:p>
      <w:pPr>
        <w:jc w:val="both"/>
        <w:ind w:firstLine="652"/>
        <w:spacing w:after="0" w:line="291" w:lineRule="auto"/>
        <w:tabs>
          <w:tab w:leader="none" w:pos="1061" w:val="left"/>
        </w:tabs>
        <w:numPr>
          <w:ilvl w:val="0"/>
          <w:numId w:val="80"/>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Exercise and Payment of a SAR. </w:t>
      </w:r>
      <w:r>
        <w:rPr>
          <w:rFonts w:ascii="Arial" w:cs="Arial" w:eastAsia="Arial" w:hAnsi="Arial"/>
          <w:sz w:val="16"/>
          <w:szCs w:val="16"/>
          <w:color w:val="auto"/>
        </w:rPr>
        <w:t>To exercise any outstanding SAR, the Participant must provide written notice of exercise to the Company</w:t>
      </w:r>
      <w:r>
        <w:rPr>
          <w:rFonts w:ascii="Arial" w:cs="Arial" w:eastAsia="Arial" w:hAnsi="Arial"/>
          <w:sz w:val="16"/>
          <w:szCs w:val="16"/>
          <w:b w:val="1"/>
          <w:bCs w:val="1"/>
          <w:color w:val="auto"/>
        </w:rPr>
        <w:t xml:space="preserve"> </w:t>
      </w:r>
      <w:r>
        <w:rPr>
          <w:rFonts w:ascii="Arial" w:cs="Arial" w:eastAsia="Arial" w:hAnsi="Arial"/>
          <w:sz w:val="16"/>
          <w:szCs w:val="16"/>
          <w:color w:val="auto"/>
        </w:rPr>
        <w:t>in compliance with the provisions of the Stock Appreciation Right Agreement evidencing such SAR. The appreciation distribution payable on the exercise of a SAR will be not greater than an amount equal to the excess of (A) the aggregate Fair Market Value (on the date of the exercise of the SAR) of a number of shares of Common Stock equal to the number of Common Stock equivalents in which the Participant is vested under such SAR, and with respect to which the Participant is exercising the SAR on such date, over (B) the aggregate strike price of the number of Common Stock equivalents with respect to which the Participant is exercising the SAR on such date. The appreciation distribution may be paid in Common Stock, in cash, in any combination of the two or in any other form of consideration, as determined by the Board and contained in the Award Agreement evidencing such SAR.</w:t>
      </w:r>
    </w:p>
    <w:p>
      <w:pPr>
        <w:spacing w:after="0" w:line="158" w:lineRule="exact"/>
        <w:rPr>
          <w:rFonts w:ascii="Arial" w:cs="Arial" w:eastAsia="Arial" w:hAnsi="Arial"/>
          <w:sz w:val="16"/>
          <w:szCs w:val="16"/>
          <w:b w:val="1"/>
          <w:bCs w:val="1"/>
          <w:color w:val="auto"/>
        </w:rPr>
      </w:pPr>
    </w:p>
    <w:p>
      <w:pPr>
        <w:jc w:val="both"/>
        <w:ind w:firstLine="652"/>
        <w:spacing w:after="0" w:line="264" w:lineRule="auto"/>
        <w:tabs>
          <w:tab w:leader="none" w:pos="1060"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of Options and SARs. </w:t>
      </w:r>
      <w:r>
        <w:rPr>
          <w:rFonts w:ascii="Arial" w:cs="Arial" w:eastAsia="Arial" w:hAnsi="Arial"/>
          <w:sz w:val="18"/>
          <w:szCs w:val="18"/>
          <w:color w:val="auto"/>
        </w:rPr>
        <w:t>The Board may, in its sole discretion, impose such limitations on the transferability of Options and</w:t>
      </w:r>
      <w:r>
        <w:rPr>
          <w:rFonts w:ascii="Arial" w:cs="Arial" w:eastAsia="Arial" w:hAnsi="Arial"/>
          <w:sz w:val="18"/>
          <w:szCs w:val="18"/>
          <w:b w:val="1"/>
          <w:bCs w:val="1"/>
          <w:color w:val="auto"/>
        </w:rPr>
        <w:t xml:space="preserve"> </w:t>
      </w:r>
      <w:r>
        <w:rPr>
          <w:rFonts w:ascii="Arial" w:cs="Arial" w:eastAsia="Arial" w:hAnsi="Arial"/>
          <w:sz w:val="18"/>
          <w:szCs w:val="18"/>
          <w:color w:val="auto"/>
        </w:rPr>
        <w:t>SARs as the Board will determine. In the absence of such a determination by the Board to the contrary, the following restrictions on the transferability of Options and SARs will apply:</w:t>
      </w:r>
    </w:p>
    <w:p>
      <w:pPr>
        <w:spacing w:after="0" w:line="176" w:lineRule="exact"/>
        <w:rPr>
          <w:rFonts w:ascii="Arial" w:cs="Arial" w:eastAsia="Arial" w:hAnsi="Arial"/>
          <w:sz w:val="18"/>
          <w:szCs w:val="18"/>
          <w:b w:val="1"/>
          <w:bCs w:val="1"/>
          <w:color w:val="auto"/>
        </w:rPr>
      </w:pPr>
    </w:p>
    <w:p>
      <w:pPr>
        <w:jc w:val="both"/>
        <w:ind w:firstLine="1297"/>
        <w:spacing w:after="0" w:line="259" w:lineRule="auto"/>
        <w:tabs>
          <w:tab w:leader="none" w:pos="1683"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Restrictions on Transfer. </w:t>
      </w:r>
      <w:r>
        <w:rPr>
          <w:rFonts w:ascii="Arial" w:cs="Arial" w:eastAsia="Arial" w:hAnsi="Arial"/>
          <w:sz w:val="18"/>
          <w:szCs w:val="18"/>
          <w:color w:val="auto"/>
        </w:rPr>
        <w:t>An Option or SAR will not be transferable except by will or by the laws of descent and distribution (or</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subsections (ii) and (iii) below), and will be exercisable during the lifetime of the Participant only by the Participant. The Board may permit transfer of the Option or SAR in a manner that is not prohibited by applicable tax and securities laws. Except as explicitly provided herein, neither an Option nor a SAR may be transferred for consideration.</w:t>
      </w:r>
    </w:p>
    <w:p>
      <w:pPr>
        <w:spacing w:after="0" w:line="181" w:lineRule="exact"/>
        <w:rPr>
          <w:rFonts w:ascii="Arial" w:cs="Arial" w:eastAsia="Arial" w:hAnsi="Arial"/>
          <w:sz w:val="18"/>
          <w:szCs w:val="18"/>
          <w:b w:val="1"/>
          <w:bCs w:val="1"/>
          <w:color w:val="auto"/>
        </w:rPr>
      </w:pPr>
    </w:p>
    <w:p>
      <w:pPr>
        <w:jc w:val="both"/>
        <w:ind w:firstLine="1297"/>
        <w:spacing w:after="0" w:line="259" w:lineRule="auto"/>
        <w:tabs>
          <w:tab w:leader="none" w:pos="1822" w:val="left"/>
        </w:tabs>
        <w:numPr>
          <w:ilvl w:val="1"/>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Domestic Relations Orders. </w:t>
      </w:r>
      <w:r>
        <w:rPr>
          <w:rFonts w:ascii="Arial" w:cs="Arial" w:eastAsia="Arial" w:hAnsi="Arial"/>
          <w:sz w:val="18"/>
          <w:szCs w:val="18"/>
          <w:color w:val="auto"/>
        </w:rPr>
        <w:t>Subject to the approval of the Board or a duly authorized Officer, an Option or SAR may be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transferred pursuant to the terms of a domestic relations order, official marital settlement agreement or other divorce or separation instrument as permitted by Treasury Regulations Section 1.421-1(b)(2). If an Option is an Incentive Stock Option, such Option may be deemed to be a Nonstatutory Stock Option as a result of such transfer.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22" w:name="page123"/>
    <w:bookmarkEnd w:id="122"/>
    <w:p>
      <w:pPr>
        <w:jc w:val="both"/>
        <w:ind w:firstLine="1297"/>
        <w:spacing w:after="0" w:line="273" w:lineRule="auto"/>
        <w:tabs>
          <w:tab w:leader="none" w:pos="1738" w:val="left"/>
        </w:tabs>
        <w:numPr>
          <w:ilvl w:val="1"/>
          <w:numId w:val="8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Beneficiary Designation. </w:t>
      </w:r>
      <w:r>
        <w:rPr>
          <w:rFonts w:ascii="Arial" w:cs="Arial" w:eastAsia="Arial" w:hAnsi="Arial"/>
          <w:sz w:val="17"/>
          <w:szCs w:val="17"/>
          <w:color w:val="auto"/>
        </w:rPr>
        <w:t>Subject to the approval of the Board or a duly authorized Officer, a Participant may, by delivering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notice to the Company, in a form approved by the Company (or the designated broker), designate a third party who, on the death of the Participant, will thereafter be entitled to exercise the Option or SAR and receive the Common Stock or other consideration resulting from such exercise. In the absence of such a designation, the executor or administrator of the Participant’s estate will be entitled to exercise the Option or SAR and receive the Common Stock or other consideration resulting from such exercise. However, the Company may prohibit designation of a beneficiary at any time, including due to any conclusion by the Company that such designation would be inconsistent with the provisions of applicable laws.</w:t>
      </w:r>
    </w:p>
    <w:p>
      <w:pPr>
        <w:spacing w:after="0" w:line="170" w:lineRule="exact"/>
        <w:rPr>
          <w:rFonts w:ascii="Arial" w:cs="Arial" w:eastAsia="Arial" w:hAnsi="Arial"/>
          <w:sz w:val="17"/>
          <w:szCs w:val="17"/>
          <w:b w:val="1"/>
          <w:bCs w:val="1"/>
          <w:color w:val="auto"/>
        </w:rPr>
      </w:pPr>
    </w:p>
    <w:p>
      <w:pPr>
        <w:jc w:val="both"/>
        <w:ind w:firstLine="652"/>
        <w:spacing w:after="0" w:line="275" w:lineRule="auto"/>
        <w:tabs>
          <w:tab w:leader="none" w:pos="1021"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Vesting Generally. </w:t>
      </w:r>
      <w:r>
        <w:rPr>
          <w:rFonts w:ascii="Arial" w:cs="Arial" w:eastAsia="Arial" w:hAnsi="Arial"/>
          <w:sz w:val="17"/>
          <w:szCs w:val="17"/>
          <w:color w:val="auto"/>
        </w:rPr>
        <w:t>The total number of shares of Common Stock subject to an Option or SAR may vest and become exercisable in periodic</w:t>
      </w:r>
      <w:r>
        <w:rPr>
          <w:rFonts w:ascii="Arial" w:cs="Arial" w:eastAsia="Arial" w:hAnsi="Arial"/>
          <w:sz w:val="17"/>
          <w:szCs w:val="17"/>
          <w:b w:val="1"/>
          <w:bCs w:val="1"/>
          <w:color w:val="auto"/>
        </w:rPr>
        <w:t xml:space="preserve"> </w:t>
      </w:r>
      <w:r>
        <w:rPr>
          <w:rFonts w:ascii="Arial" w:cs="Arial" w:eastAsia="Arial" w:hAnsi="Arial"/>
          <w:sz w:val="17"/>
          <w:szCs w:val="17"/>
          <w:color w:val="auto"/>
        </w:rPr>
        <w:t>installments that may or may not be equal. The Option or SAR may be subject to such other terms and conditions on the time or times when it may or may not be exercised (which may be based on the satisfaction of Performance Goals or other criteria) as the Board may deem appropriate. The vesting provisions of individual Options or SARs may vary. The provisions of this Section 5(f) are subject to any Option or SAR provisions governing the minimum number of shares of Common Stock as to which an Option or SAR may be exercised.</w:t>
      </w:r>
    </w:p>
    <w:p>
      <w:pPr>
        <w:spacing w:after="0" w:line="170" w:lineRule="exact"/>
        <w:rPr>
          <w:rFonts w:ascii="Arial" w:cs="Arial" w:eastAsia="Arial" w:hAnsi="Arial"/>
          <w:sz w:val="17"/>
          <w:szCs w:val="17"/>
          <w:b w:val="1"/>
          <w:bCs w:val="1"/>
          <w:color w:val="auto"/>
        </w:rPr>
      </w:pPr>
    </w:p>
    <w:p>
      <w:pPr>
        <w:jc w:val="both"/>
        <w:ind w:firstLine="652"/>
        <w:spacing w:after="0" w:line="271" w:lineRule="auto"/>
        <w:tabs>
          <w:tab w:leader="none" w:pos="1106" w:val="left"/>
        </w:tabs>
        <w:numPr>
          <w:ilvl w:val="0"/>
          <w:numId w:val="8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Termination of Continuous Service. </w:t>
      </w:r>
      <w:r>
        <w:rPr>
          <w:rFonts w:ascii="Arial" w:cs="Arial" w:eastAsia="Arial" w:hAnsi="Arial"/>
          <w:sz w:val="17"/>
          <w:szCs w:val="17"/>
          <w:color w:val="auto"/>
        </w:rPr>
        <w:t>Except as otherwise provided in the applicable Award Agreement or other agreement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Participant and the Company, if a Participant’s Continuous Service terminates (other than for Cause and other than upon the Participant’s death or Disability), the Participant may exercise his or her Option or SAR (to the extent that the Participant was entitled to exercise such Award as of the date of termination of Continuous Service) within the period of time ending on the earlier of (i) the date three months following the termination of the Participant’s Continuous Service (or such longer or shorter period specified in the applicable Award Agreement), and (ii) the expiration of the term of the Option or SAR as set forth in the Award Agreement. If, after termination of Continuous Service, the Participant does not exercise his or her Option or SAR (as applicable) within the applicable time frame, the Option or SAR will terminate.</w:t>
      </w:r>
    </w:p>
    <w:p>
      <w:pPr>
        <w:spacing w:after="0" w:line="174" w:lineRule="exact"/>
        <w:rPr>
          <w:rFonts w:ascii="Arial" w:cs="Arial" w:eastAsia="Arial" w:hAnsi="Arial"/>
          <w:sz w:val="17"/>
          <w:szCs w:val="17"/>
          <w:b w:val="1"/>
          <w:bCs w:val="1"/>
          <w:color w:val="auto"/>
        </w:rPr>
      </w:pPr>
    </w:p>
    <w:p>
      <w:pPr>
        <w:jc w:val="both"/>
        <w:ind w:firstLine="652"/>
        <w:spacing w:after="0" w:line="286" w:lineRule="auto"/>
        <w:tabs>
          <w:tab w:leader="none" w:pos="1043" w:val="left"/>
        </w:tabs>
        <w:numPr>
          <w:ilvl w:val="0"/>
          <w:numId w:val="8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Extension of Termination Date. </w:t>
      </w:r>
      <w:r>
        <w:rPr>
          <w:rFonts w:ascii="Arial" w:cs="Arial" w:eastAsia="Arial" w:hAnsi="Arial"/>
          <w:sz w:val="16"/>
          <w:szCs w:val="16"/>
          <w:color w:val="auto"/>
        </w:rPr>
        <w:t>If the exercise of an Option or SAR following the termination of the Participant’s Continuous Service (other</w:t>
      </w:r>
      <w:r>
        <w:rPr>
          <w:rFonts w:ascii="Arial" w:cs="Arial" w:eastAsia="Arial" w:hAnsi="Arial"/>
          <w:sz w:val="16"/>
          <w:szCs w:val="16"/>
          <w:b w:val="1"/>
          <w:bCs w:val="1"/>
          <w:color w:val="auto"/>
        </w:rPr>
        <w:t xml:space="preserve"> </w:t>
      </w:r>
      <w:r>
        <w:rPr>
          <w:rFonts w:ascii="Arial" w:cs="Arial" w:eastAsia="Arial" w:hAnsi="Arial"/>
          <w:sz w:val="16"/>
          <w:szCs w:val="16"/>
          <w:color w:val="auto"/>
        </w:rPr>
        <w:t>than for Cause and other than upon the Participant’s death or Disability) would be prohibited at any time solely because the issuance of shares of Common Stock would violate the registration requirements under the Securities Act, then the Option or SAR will terminate on the earlier of (i) the expiration of a total period of time (that need not be consecutive) equal to the applicable post termination exercise period after the termination of the Participant’s Continuous Service during which the exercise of the Option or SAR would not be in violation of such registration requirements, and (ii) the expiration of the term of the Option or SAR as set forth in the applicable Award Agreement. In addition, unless otherwise provided in a Participant’s Award Agreement, if the sale of any Common Stock received on exercise of an Option or SAR following the termination of the Participant’s Continuous Service (other than for Cause) would violate the Company’s insider trading policy, then the Option or SAR will terminate on the earlier of (i) the expiration of a period of months (that need not be consecutive) equal to the applicable post-termination exercise period after the termination of the Participant’s Continuous Service during which the sale of the Common Stock received upon exercise of the Option or SAR would not be in violation of the Company’s insider trading policy, or (ii) the expiration of the term of the Option or SAR as set forth in the applicable Award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3" w:name="page124"/>
    <w:bookmarkEnd w:id="123"/>
    <w:p>
      <w:pPr>
        <w:jc w:val="both"/>
        <w:ind w:firstLine="652"/>
        <w:spacing w:after="0" w:line="254" w:lineRule="auto"/>
        <w:tabs>
          <w:tab w:leader="none" w:pos="1020"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Disability of Participant. </w:t>
      </w:r>
      <w:r>
        <w:rPr>
          <w:rFonts w:ascii="Arial" w:cs="Arial" w:eastAsia="Arial" w:hAnsi="Arial"/>
          <w:sz w:val="18"/>
          <w:szCs w:val="18"/>
          <w:color w:val="auto"/>
        </w:rPr>
        <w:t>Except as otherwise provided in the applicable Award Agreement or other agreement between the Participant and</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 if a Participant’s Continuous Service terminates as a result of the Participant’s Disability, the Participant may exercise his or her Option or SAR (to the extent that the Participant was entitled to exercise such Option or SAR as of the date of termination of Continuous Service), but only within such period of time ending on the earlier of (i) the date 12 months following such termination of Continuous Service (or such longer or shorter period specified in the Award Agreement), and (ii) the expiration of the term of the Option or SAR as set forth in the Award Agreement. If, after termination of Continuous Service, the Participant does not exercise his or her Option or SAR within the applicable time frame, the Option or SAR (as applicable) will terminate.</w:t>
      </w:r>
    </w:p>
    <w:p>
      <w:pPr>
        <w:spacing w:after="0" w:line="186" w:lineRule="exact"/>
        <w:rPr>
          <w:rFonts w:ascii="Arial" w:cs="Arial" w:eastAsia="Arial" w:hAnsi="Arial"/>
          <w:sz w:val="18"/>
          <w:szCs w:val="18"/>
          <w:b w:val="1"/>
          <w:bCs w:val="1"/>
          <w:color w:val="auto"/>
        </w:rPr>
      </w:pPr>
    </w:p>
    <w:p>
      <w:pPr>
        <w:jc w:val="both"/>
        <w:ind w:firstLine="652"/>
        <w:spacing w:after="0" w:line="289" w:lineRule="auto"/>
        <w:tabs>
          <w:tab w:leader="none" w:pos="1030" w:val="left"/>
        </w:tabs>
        <w:numPr>
          <w:ilvl w:val="0"/>
          <w:numId w:val="8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Death of Participant. </w:t>
      </w:r>
      <w:r>
        <w:rPr>
          <w:rFonts w:ascii="Arial" w:cs="Arial" w:eastAsia="Arial" w:hAnsi="Arial"/>
          <w:sz w:val="16"/>
          <w:szCs w:val="16"/>
          <w:color w:val="auto"/>
        </w:rPr>
        <w:t>Except as otherwise provided in the applicable Award Agreement or other agreement between the Participant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if (i) a Participant’s Continuous Service terminates as a result of the Participant’s death, or (ii) the Participant dies within the period (if any) specified in the Award Agreement for exercisability after the termination of the Participant’s Continuous Service for a reason other than death, then the Option or SAR may be exercised (to the extent the Participant was entitled to exercise such Option or SAR as of the date of death) by the Participant’s estate, by a person who acquired the right to exercise the Option or SAR by bequest or inheritance or by a person designated to exercise the Option or SAR upon the Participant’s death, but only within the period ending on the earlier of (i) the date 18 months following the date of death (or such longer or shorter period specified in the Award Agreement), and (ii) the expiration of the term of such Option or SAR as set forth in the Award Agreement. If, after the Participant’s death, the Option or SAR is not exercised within the applicable time frame, the Option or SAR (as applicable) will terminate.</w:t>
      </w:r>
    </w:p>
    <w:p>
      <w:pPr>
        <w:spacing w:after="0" w:line="162" w:lineRule="exact"/>
        <w:rPr>
          <w:rFonts w:ascii="Arial" w:cs="Arial" w:eastAsia="Arial" w:hAnsi="Arial"/>
          <w:sz w:val="16"/>
          <w:szCs w:val="16"/>
          <w:b w:val="1"/>
          <w:bCs w:val="1"/>
          <w:color w:val="auto"/>
        </w:rPr>
      </w:pPr>
    </w:p>
    <w:p>
      <w:pPr>
        <w:jc w:val="both"/>
        <w:ind w:firstLine="652"/>
        <w:spacing w:after="0" w:line="259" w:lineRule="auto"/>
        <w:tabs>
          <w:tab w:leader="none" w:pos="1075" w:val="left"/>
        </w:tabs>
        <w:numPr>
          <w:ilvl w:val="0"/>
          <w:numId w:val="8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Termination for Cause. </w:t>
      </w:r>
      <w:r>
        <w:rPr>
          <w:rFonts w:ascii="Arial" w:cs="Arial" w:eastAsia="Arial" w:hAnsi="Arial"/>
          <w:sz w:val="18"/>
          <w:szCs w:val="18"/>
          <w:color w:val="auto"/>
        </w:rPr>
        <w:t>Except as explicitly provided otherwise in a Participant’s Award Agreement or other individual written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between the Company or any Affiliate and the Participant, if a Participant’s Continuous Service is terminated for Cause, the Option or SAR will terminate immediately upon such Participant’s termination of Continuous Service, and the Participant will be prohibited from exercising his or her Option or SAR from and after the date of such termination of Continuous Service.</w:t>
      </w:r>
    </w:p>
    <w:p>
      <w:pPr>
        <w:spacing w:after="0" w:line="181" w:lineRule="exact"/>
        <w:rPr>
          <w:rFonts w:ascii="Arial" w:cs="Arial" w:eastAsia="Arial" w:hAnsi="Arial"/>
          <w:sz w:val="18"/>
          <w:szCs w:val="18"/>
          <w:b w:val="1"/>
          <w:bCs w:val="1"/>
          <w:color w:val="auto"/>
        </w:rPr>
      </w:pPr>
    </w:p>
    <w:p>
      <w:pPr>
        <w:jc w:val="both"/>
        <w:ind w:firstLine="652"/>
        <w:spacing w:after="0" w:line="268" w:lineRule="auto"/>
        <w:tabs>
          <w:tab w:leader="none" w:pos="1058" w:val="left"/>
        </w:tabs>
        <w:numPr>
          <w:ilvl w:val="0"/>
          <w:numId w:val="83"/>
        </w:numPr>
        <w:rPr>
          <w:rFonts w:ascii="Arial" w:cs="Arial" w:eastAsia="Arial" w:hAnsi="Arial"/>
          <w:sz w:val="17"/>
          <w:szCs w:val="17"/>
          <w:b w:val="1"/>
          <w:bCs w:val="1"/>
          <w:color w:val="auto"/>
        </w:rPr>
      </w:pPr>
      <w:r>
        <w:rPr>
          <w:rFonts w:ascii="Arial" w:cs="Arial" w:eastAsia="Arial" w:hAnsi="Arial"/>
          <w:sz w:val="17"/>
          <w:szCs w:val="17"/>
          <w:b w:val="1"/>
          <w:bCs w:val="1"/>
          <w:color w:val="auto"/>
        </w:rPr>
        <w:t>Non-Exempt Employees</w:t>
      </w:r>
      <w:r>
        <w:rPr>
          <w:rFonts w:ascii="Arial" w:cs="Arial" w:eastAsia="Arial" w:hAnsi="Arial"/>
          <w:sz w:val="17"/>
          <w:szCs w:val="17"/>
          <w:color w:val="auto"/>
        </w:rPr>
        <w:t>. If an Option or SAR is granted to an Employee who is a non-exempt employee for purposes of the Fair Labor</w:t>
      </w:r>
      <w:r>
        <w:rPr>
          <w:rFonts w:ascii="Arial" w:cs="Arial" w:eastAsia="Arial" w:hAnsi="Arial"/>
          <w:sz w:val="17"/>
          <w:szCs w:val="17"/>
          <w:b w:val="1"/>
          <w:bCs w:val="1"/>
          <w:color w:val="auto"/>
        </w:rPr>
        <w:t xml:space="preserve"> </w:t>
      </w:r>
      <w:r>
        <w:rPr>
          <w:rFonts w:ascii="Arial" w:cs="Arial" w:eastAsia="Arial" w:hAnsi="Arial"/>
          <w:sz w:val="17"/>
          <w:szCs w:val="17"/>
          <w:color w:val="auto"/>
        </w:rPr>
        <w:t>Standards Act of 1938, as amended, the Option or SAR will not be first exercisable for any shares of Common Stock until at least six months following the date of grant of the Option or SAR (although the Award may vest prior to such date). Consistent with the provisions of the Worker Economic Opportunity Act, (i) if such non-exempt Employee dies or suffers a Disability, (ii) upon a Corporate Transaction in which such Option or SAR is not assumed, continued, or substituted, (iii) upon a Change in Control, or (iv) upon the Participant’s retirement (as such term may be defined in the Participant’s Award Agreement in another agreement between the Participant and the Company, or, if no such definition, in accordance with the Company's then current employment policies and guidelines), the vested portion of any Options and SARs may be exercised earlier than six months following the date of grant. The foregoing provision is intended to operate so that any income derived by a non-exempt employee in connection with the exercise or vesting of an Option or SAR will be exempt from his or her regular rate of pay. To the extent permitted and/or required for compliance with the Worker Economic Opportunity Act to ensure that any income derived by a non-exempt employee in connection with the exercise, vesting or issuance of any shares under any other Stock Award will be exempt from the employee’s regular rate of pay, the provisions of this Section 5(l) will apply to all Stock Awards and are hereby incorporated by reference into such Stock Award Agreements.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4" w:name="page125"/>
    <w:bookmarkEnd w:id="124"/>
    <w:p>
      <w:pPr>
        <w:ind w:left="320" w:hanging="313"/>
        <w:spacing w:after="0"/>
        <w:tabs>
          <w:tab w:leader="none" w:pos="32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Provisions of Stock Awards other than Options and SARs.</w:t>
      </w:r>
    </w:p>
    <w:p>
      <w:pPr>
        <w:spacing w:after="0" w:line="222" w:lineRule="exact"/>
        <w:rPr>
          <w:rFonts w:ascii="Arial" w:cs="Arial" w:eastAsia="Arial" w:hAnsi="Arial"/>
          <w:sz w:val="18"/>
          <w:szCs w:val="18"/>
          <w:b w:val="1"/>
          <w:bCs w:val="1"/>
          <w:color w:val="auto"/>
        </w:rPr>
      </w:pPr>
    </w:p>
    <w:p>
      <w:pPr>
        <w:jc w:val="both"/>
        <w:ind w:firstLine="652"/>
        <w:spacing w:after="0" w:line="254" w:lineRule="auto"/>
        <w:tabs>
          <w:tab w:leader="none" w:pos="1069" w:val="left"/>
        </w:tabs>
        <w:numPr>
          <w:ilvl w:val="1"/>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Restricted Stock Awards. </w:t>
      </w:r>
      <w:r>
        <w:rPr>
          <w:rFonts w:ascii="Arial" w:cs="Arial" w:eastAsia="Arial" w:hAnsi="Arial"/>
          <w:sz w:val="18"/>
          <w:szCs w:val="18"/>
          <w:color w:val="auto"/>
        </w:rPr>
        <w:t>Each Restricted Stock Award Agreement will be in such form and will contain such terms and conditions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Board will deem appropriate. To the extent consistent with the Company’s bylaws, at the Board’s election, shares of Common Stock may be (x) held in book entry form subject to the Company’s instructions until any restrictions relating to the Restricted Stock Award lapse; or (y) evidenced by a certificate, which certificate will be held in such form and manner as determined by the Board. The terms and conditions of Restricted Stock Award Agreements may change from time to time, and the terms and conditions of separate Restricted Stock Award Agreements need not be identical. Each Restricted Stock Award Agreement will conform to (through incorporation of the provisions hereof by reference in the agreement or otherwise) the substance of each of the following provisions:</w:t>
      </w:r>
    </w:p>
    <w:p>
      <w:pPr>
        <w:spacing w:after="0" w:line="186" w:lineRule="exact"/>
        <w:rPr>
          <w:rFonts w:ascii="Arial" w:cs="Arial" w:eastAsia="Arial" w:hAnsi="Arial"/>
          <w:sz w:val="18"/>
          <w:szCs w:val="18"/>
          <w:b w:val="1"/>
          <w:bCs w:val="1"/>
          <w:color w:val="auto"/>
        </w:rPr>
      </w:pPr>
    </w:p>
    <w:p>
      <w:pPr>
        <w:jc w:val="both"/>
        <w:ind w:firstLine="1297"/>
        <w:spacing w:after="0" w:line="264" w:lineRule="auto"/>
        <w:tabs>
          <w:tab w:leader="none" w:pos="1652"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 Restricted Stock Award may be awarded in consideration for (A) cash, check, bank draft or money order payable</w:t>
      </w:r>
      <w:r>
        <w:rPr>
          <w:rFonts w:ascii="Arial" w:cs="Arial" w:eastAsia="Arial" w:hAnsi="Arial"/>
          <w:sz w:val="18"/>
          <w:szCs w:val="18"/>
          <w:b w:val="1"/>
          <w:bCs w:val="1"/>
          <w:color w:val="auto"/>
        </w:rPr>
        <w:t xml:space="preserve"> </w:t>
      </w:r>
      <w:r>
        <w:rPr>
          <w:rFonts w:ascii="Arial" w:cs="Arial" w:eastAsia="Arial" w:hAnsi="Arial"/>
          <w:sz w:val="18"/>
          <w:szCs w:val="18"/>
          <w:color w:val="auto"/>
        </w:rPr>
        <w:t>to the Company, (B) past services to the Company or an Affiliate, or (C) any other form of legal consideration (including future services) that may be acceptable to the Board, in its sole discretion, and permissible under applicable law.</w:t>
      </w:r>
    </w:p>
    <w:p>
      <w:pPr>
        <w:spacing w:after="0" w:line="176" w:lineRule="exact"/>
        <w:rPr>
          <w:rFonts w:ascii="Arial" w:cs="Arial" w:eastAsia="Arial" w:hAnsi="Arial"/>
          <w:sz w:val="18"/>
          <w:szCs w:val="18"/>
          <w:b w:val="1"/>
          <w:bCs w:val="1"/>
          <w:color w:val="auto"/>
        </w:rPr>
      </w:pPr>
    </w:p>
    <w:p>
      <w:pPr>
        <w:ind w:right="20" w:firstLine="1297"/>
        <w:spacing w:after="0" w:line="280" w:lineRule="auto"/>
        <w:tabs>
          <w:tab w:leader="none" w:pos="1792"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Shares of Common Stock awarded under the Restricted Stock Award Agreement may be subject to forfeiture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in accordance with a vesting schedule to be determined by the Board.</w:t>
      </w:r>
    </w:p>
    <w:p>
      <w:pPr>
        <w:spacing w:after="0" w:line="161" w:lineRule="exact"/>
        <w:rPr>
          <w:rFonts w:ascii="Arial" w:cs="Arial" w:eastAsia="Arial" w:hAnsi="Arial"/>
          <w:sz w:val="18"/>
          <w:szCs w:val="18"/>
          <w:b w:val="1"/>
          <w:bCs w:val="1"/>
          <w:color w:val="auto"/>
        </w:rPr>
      </w:pPr>
    </w:p>
    <w:p>
      <w:pPr>
        <w:jc w:val="both"/>
        <w:ind w:firstLine="1297"/>
        <w:spacing w:after="0" w:line="264" w:lineRule="auto"/>
        <w:tabs>
          <w:tab w:leader="none" w:pos="1797"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of Participant</w:t>
      </w:r>
      <w:r>
        <w:rPr>
          <w:rFonts w:ascii="Arial" w:cs="Arial" w:eastAsia="Arial" w:hAnsi="Arial"/>
          <w:sz w:val="18"/>
          <w:szCs w:val="18"/>
          <w:color w:val="auto"/>
        </w:rPr>
        <w:t>’</w:t>
      </w:r>
      <w:r>
        <w:rPr>
          <w:rFonts w:ascii="Arial" w:cs="Arial" w:eastAsia="Arial" w:hAnsi="Arial"/>
          <w:sz w:val="18"/>
          <w:szCs w:val="18"/>
          <w:b w:val="1"/>
          <w:bCs w:val="1"/>
          <w:color w:val="auto"/>
        </w:rPr>
        <w:t xml:space="preserve">s Continuous Service. </w:t>
      </w:r>
      <w:r>
        <w:rPr>
          <w:rFonts w:ascii="Arial" w:cs="Arial" w:eastAsia="Arial" w:hAnsi="Arial"/>
          <w:sz w:val="18"/>
          <w:szCs w:val="18"/>
          <w:color w:val="auto"/>
        </w:rPr>
        <w:t>If a Participant’s Continuous Service terminates, the Company may receive</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a forfeiture condition or a repurchase right any or all of the shares of Common Stock held by the Participant as of the date of termination of Continuous Service under the terms of the Restricted Stock Award Agreement.</w:t>
      </w:r>
    </w:p>
    <w:p>
      <w:pPr>
        <w:spacing w:after="0" w:line="176" w:lineRule="exact"/>
        <w:rPr>
          <w:rFonts w:ascii="Arial" w:cs="Arial" w:eastAsia="Arial" w:hAnsi="Arial"/>
          <w:sz w:val="18"/>
          <w:szCs w:val="18"/>
          <w:b w:val="1"/>
          <w:bCs w:val="1"/>
          <w:color w:val="auto"/>
        </w:rPr>
      </w:pPr>
    </w:p>
    <w:p>
      <w:pPr>
        <w:jc w:val="both"/>
        <w:ind w:firstLine="1297"/>
        <w:spacing w:after="0" w:line="259" w:lineRule="auto"/>
        <w:tabs>
          <w:tab w:leader="none" w:pos="1765"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Transferability. </w:t>
      </w:r>
      <w:r>
        <w:rPr>
          <w:rFonts w:ascii="Arial" w:cs="Arial" w:eastAsia="Arial" w:hAnsi="Arial"/>
          <w:sz w:val="18"/>
          <w:szCs w:val="18"/>
          <w:color w:val="auto"/>
        </w:rPr>
        <w:t>Rights to acquire shares of Common Stock under the Restricted Stock Award Agreement will be transferable by</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 only upon such terms and conditions as are set forth in the Restricted Stock Award Agreement, as the Board will determine in its sole discretion, so long as Common Stock awarded under the Restricted Stock Award Agreement remains subject to the terms of the Restricted Stock Award Agreement.</w:t>
      </w:r>
    </w:p>
    <w:p>
      <w:pPr>
        <w:spacing w:after="0" w:line="181" w:lineRule="exact"/>
        <w:rPr>
          <w:rFonts w:ascii="Arial" w:cs="Arial" w:eastAsia="Arial" w:hAnsi="Arial"/>
          <w:sz w:val="18"/>
          <w:szCs w:val="18"/>
          <w:b w:val="1"/>
          <w:bCs w:val="1"/>
          <w:color w:val="auto"/>
        </w:rPr>
      </w:pPr>
    </w:p>
    <w:p>
      <w:pPr>
        <w:ind w:firstLine="1297"/>
        <w:spacing w:after="0" w:line="280" w:lineRule="auto"/>
        <w:tabs>
          <w:tab w:leader="none" w:pos="1732" w:val="left"/>
        </w:tabs>
        <w:numPr>
          <w:ilvl w:val="2"/>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Dividends. </w:t>
      </w:r>
      <w:r>
        <w:rPr>
          <w:rFonts w:ascii="Arial" w:cs="Arial" w:eastAsia="Arial" w:hAnsi="Arial"/>
          <w:sz w:val="18"/>
          <w:szCs w:val="18"/>
          <w:color w:val="auto"/>
        </w:rPr>
        <w:t>A Restricted Stock Award Agreement may provide that any dividends paid on Restricted Stock will be subject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vesting and forfeiture restrictions as apply to the shares subject to the Restricted Stock Award to which they relate.</w:t>
      </w:r>
    </w:p>
    <w:p>
      <w:pPr>
        <w:spacing w:after="0" w:line="161" w:lineRule="exact"/>
        <w:rPr>
          <w:rFonts w:ascii="Arial" w:cs="Arial" w:eastAsia="Arial" w:hAnsi="Arial"/>
          <w:sz w:val="18"/>
          <w:szCs w:val="18"/>
          <w:b w:val="1"/>
          <w:bCs w:val="1"/>
          <w:color w:val="auto"/>
        </w:rPr>
      </w:pPr>
    </w:p>
    <w:p>
      <w:pPr>
        <w:jc w:val="both"/>
        <w:ind w:firstLine="652"/>
        <w:spacing w:after="0" w:line="302" w:lineRule="auto"/>
        <w:tabs>
          <w:tab w:leader="none" w:pos="1164" w:val="left"/>
        </w:tabs>
        <w:numPr>
          <w:ilvl w:val="1"/>
          <w:numId w:val="8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Restricted Stock Unit Awards. </w:t>
      </w:r>
      <w:r>
        <w:rPr>
          <w:rFonts w:ascii="Arial" w:cs="Arial" w:eastAsia="Arial" w:hAnsi="Arial"/>
          <w:sz w:val="16"/>
          <w:szCs w:val="16"/>
          <w:color w:val="auto"/>
        </w:rPr>
        <w:t>Each Restricted Stock Unit Award Agreement will be in such form and will contain such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as the Board will deem appropriate. The terms and conditions of Restricted Stock Unit Award Agreements may change from time to time, and the terms and conditions of separate Restricted Stock Unit Award Agreements need not be identical. Each Restricted Stock Unit Award Agreement will conform to (through incorporation of the provisions hereof by reference in the Agreement or otherwise) the substance of each of the following provisions: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5" w:name="page126"/>
    <w:bookmarkEnd w:id="125"/>
    <w:p>
      <w:pPr>
        <w:jc w:val="both"/>
        <w:ind w:firstLine="1297"/>
        <w:spacing w:after="0" w:line="259" w:lineRule="auto"/>
        <w:tabs>
          <w:tab w:leader="none" w:pos="1652"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Consideration. </w:t>
      </w:r>
      <w:r>
        <w:rPr>
          <w:rFonts w:ascii="Arial" w:cs="Arial" w:eastAsia="Arial" w:hAnsi="Arial"/>
          <w:sz w:val="18"/>
          <w:szCs w:val="18"/>
          <w:color w:val="auto"/>
        </w:rPr>
        <w:t>At the time of grant of a Restricted Stock Unit Award, the Board will determine the consideration, if any, to be paid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Participant upon delivery of each share of Common Stock subject to the Restricted Stock Unit Award. The consideration to be paid (if any) by the Participant for each share of Common Stock subject to a Restricted Stock Unit Award may be paid in any form of legal consideration that may be acceptable to the Board, in its sole discretion, and permissible under applicable law.</w:t>
      </w:r>
    </w:p>
    <w:p>
      <w:pPr>
        <w:spacing w:after="0" w:line="181" w:lineRule="exact"/>
        <w:rPr>
          <w:rFonts w:ascii="Arial" w:cs="Arial" w:eastAsia="Arial" w:hAnsi="Arial"/>
          <w:sz w:val="18"/>
          <w:szCs w:val="18"/>
          <w:b w:val="1"/>
          <w:bCs w:val="1"/>
          <w:color w:val="auto"/>
        </w:rPr>
      </w:pPr>
    </w:p>
    <w:p>
      <w:pPr>
        <w:ind w:right="20" w:firstLine="1297"/>
        <w:spacing w:after="0" w:line="280" w:lineRule="auto"/>
        <w:tabs>
          <w:tab w:leader="none" w:pos="1717"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Vesting. </w:t>
      </w:r>
      <w:r>
        <w:rPr>
          <w:rFonts w:ascii="Arial" w:cs="Arial" w:eastAsia="Arial" w:hAnsi="Arial"/>
          <w:sz w:val="18"/>
          <w:szCs w:val="18"/>
          <w:color w:val="auto"/>
        </w:rPr>
        <w:t>At the time of the grant of a Restricted Stock Unit Award, the Board may impose such restrictions on or conditions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vesting of the Restricted Stock Unit Award as it, in its sole discretion, deems appropriate.</w:t>
      </w:r>
    </w:p>
    <w:p>
      <w:pPr>
        <w:spacing w:after="0" w:line="161" w:lineRule="exact"/>
        <w:rPr>
          <w:rFonts w:ascii="Arial" w:cs="Arial" w:eastAsia="Arial" w:hAnsi="Arial"/>
          <w:sz w:val="18"/>
          <w:szCs w:val="18"/>
          <w:b w:val="1"/>
          <w:bCs w:val="1"/>
          <w:color w:val="auto"/>
        </w:rPr>
      </w:pPr>
    </w:p>
    <w:p>
      <w:pPr>
        <w:ind w:firstLine="1297"/>
        <w:spacing w:after="0" w:line="345" w:lineRule="auto"/>
        <w:tabs>
          <w:tab w:leader="none" w:pos="1791"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Payment</w:t>
      </w:r>
      <w:r>
        <w:rPr>
          <w:rFonts w:ascii="Arial" w:cs="Arial" w:eastAsia="Arial" w:hAnsi="Arial"/>
          <w:sz w:val="16"/>
          <w:szCs w:val="16"/>
          <w:color w:val="auto"/>
        </w:rPr>
        <w:t>. A Restricted Stock Unit Award may be settled by the delivery of shares of Common Stock, their cash equivalent, any</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thereof or in any other form of consideration, as determined by the Board and contained in the Restricted Stock Unit Award Agreement.</w:t>
      </w:r>
    </w:p>
    <w:p>
      <w:pPr>
        <w:spacing w:after="0" w:line="115" w:lineRule="exact"/>
        <w:rPr>
          <w:rFonts w:ascii="Arial" w:cs="Arial" w:eastAsia="Arial" w:hAnsi="Arial"/>
          <w:sz w:val="16"/>
          <w:szCs w:val="16"/>
          <w:b w:val="1"/>
          <w:bCs w:val="1"/>
          <w:color w:val="auto"/>
        </w:rPr>
      </w:pPr>
    </w:p>
    <w:p>
      <w:pPr>
        <w:jc w:val="both"/>
        <w:ind w:firstLine="1297"/>
        <w:spacing w:after="0" w:line="264" w:lineRule="auto"/>
        <w:tabs>
          <w:tab w:leader="none" w:pos="1727" w:val="left"/>
        </w:tabs>
        <w:numPr>
          <w:ilvl w:val="1"/>
          <w:numId w:val="8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Additional Restrictions. </w:t>
      </w:r>
      <w:r>
        <w:rPr>
          <w:rFonts w:ascii="Arial" w:cs="Arial" w:eastAsia="Arial" w:hAnsi="Arial"/>
          <w:sz w:val="18"/>
          <w:szCs w:val="18"/>
          <w:color w:val="auto"/>
        </w:rPr>
        <w:t>At the time of the grant of a Restricted Stock Unit Award, the Board, as it deems appropriate, may impose</w:t>
      </w:r>
      <w:r>
        <w:rPr>
          <w:rFonts w:ascii="Arial" w:cs="Arial" w:eastAsia="Arial" w:hAnsi="Arial"/>
          <w:sz w:val="18"/>
          <w:szCs w:val="18"/>
          <w:b w:val="1"/>
          <w:bCs w:val="1"/>
          <w:color w:val="auto"/>
        </w:rPr>
        <w:t xml:space="preserve"> </w:t>
      </w:r>
      <w:r>
        <w:rPr>
          <w:rFonts w:ascii="Arial" w:cs="Arial" w:eastAsia="Arial" w:hAnsi="Arial"/>
          <w:sz w:val="18"/>
          <w:szCs w:val="18"/>
          <w:color w:val="auto"/>
        </w:rPr>
        <w:t>such restrictions or conditions that delay the delivery of the shares of Common Stock (or their cash equivalent) subject to a Restricted Stock Unit Award to a time after the vesting of such Restricted Stock Unit Award.</w:t>
      </w:r>
    </w:p>
    <w:p>
      <w:pPr>
        <w:spacing w:after="0" w:line="176" w:lineRule="exact"/>
        <w:rPr>
          <w:rFonts w:ascii="Arial" w:cs="Arial" w:eastAsia="Arial" w:hAnsi="Arial"/>
          <w:sz w:val="18"/>
          <w:szCs w:val="18"/>
          <w:b w:val="1"/>
          <w:bCs w:val="1"/>
          <w:color w:val="auto"/>
        </w:rPr>
      </w:pPr>
    </w:p>
    <w:p>
      <w:pPr>
        <w:jc w:val="both"/>
        <w:ind w:firstLine="1297"/>
        <w:spacing w:after="0" w:line="275" w:lineRule="auto"/>
        <w:tabs>
          <w:tab w:leader="none" w:pos="1696" w:val="left"/>
        </w:tabs>
        <w:numPr>
          <w:ilvl w:val="1"/>
          <w:numId w:val="8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Dividend Equivalents. </w:t>
      </w:r>
      <w:r>
        <w:rPr>
          <w:rFonts w:ascii="Arial" w:cs="Arial" w:eastAsia="Arial" w:hAnsi="Arial"/>
          <w:sz w:val="17"/>
          <w:szCs w:val="17"/>
          <w:color w:val="auto"/>
        </w:rPr>
        <w:t>Dividend equivalents may be credited in respect of shares of Common Stock covered by a Restricted Stock</w:t>
      </w:r>
      <w:r>
        <w:rPr>
          <w:rFonts w:ascii="Arial" w:cs="Arial" w:eastAsia="Arial" w:hAnsi="Arial"/>
          <w:sz w:val="17"/>
          <w:szCs w:val="17"/>
          <w:b w:val="1"/>
          <w:bCs w:val="1"/>
          <w:color w:val="auto"/>
        </w:rPr>
        <w:t xml:space="preserve"> </w:t>
      </w:r>
      <w:r>
        <w:rPr>
          <w:rFonts w:ascii="Arial" w:cs="Arial" w:eastAsia="Arial" w:hAnsi="Arial"/>
          <w:sz w:val="17"/>
          <w:szCs w:val="17"/>
          <w:color w:val="auto"/>
        </w:rPr>
        <w:t>Unit Award, as determined by the Board and contained in the Restricted Stock Unit Award Agreement. At the sole discretion of the Board, such dividend equivalents may be converted into additional shares of Common Stock covered by the Restricted Stock Unit Award in such manner as determined by the Board. Any additional shares covered by the Restricted Stock Unit Award credited by reason of such dividend equivalents will be subject to all of the same terms and conditions of the underlying Restricted Stock Unit Award Agreement to which they relate.</w:t>
      </w:r>
    </w:p>
    <w:p>
      <w:pPr>
        <w:spacing w:after="0" w:line="170" w:lineRule="exact"/>
        <w:rPr>
          <w:rFonts w:ascii="Arial" w:cs="Arial" w:eastAsia="Arial" w:hAnsi="Arial"/>
          <w:sz w:val="17"/>
          <w:szCs w:val="17"/>
          <w:b w:val="1"/>
          <w:bCs w:val="1"/>
          <w:color w:val="auto"/>
        </w:rPr>
      </w:pPr>
    </w:p>
    <w:p>
      <w:pPr>
        <w:ind w:firstLine="1297"/>
        <w:spacing w:after="0" w:line="345" w:lineRule="auto"/>
        <w:tabs>
          <w:tab w:leader="none" w:pos="1778" w:val="left"/>
        </w:tabs>
        <w:numPr>
          <w:ilvl w:val="1"/>
          <w:numId w:val="85"/>
        </w:numPr>
        <w:rPr>
          <w:rFonts w:ascii="Arial" w:cs="Arial" w:eastAsia="Arial" w:hAnsi="Arial"/>
          <w:sz w:val="16"/>
          <w:szCs w:val="16"/>
          <w:b w:val="1"/>
          <w:bCs w:val="1"/>
          <w:color w:val="auto"/>
        </w:rPr>
      </w:pPr>
      <w:r>
        <w:rPr>
          <w:rFonts w:ascii="Arial" w:cs="Arial" w:eastAsia="Arial" w:hAnsi="Arial"/>
          <w:sz w:val="16"/>
          <w:szCs w:val="16"/>
          <w:b w:val="1"/>
          <w:bCs w:val="1"/>
          <w:color w:val="auto"/>
        </w:rPr>
        <w:t>Termination of Participant</w:t>
      </w:r>
      <w:r>
        <w:rPr>
          <w:rFonts w:ascii="Arial" w:cs="Arial" w:eastAsia="Arial" w:hAnsi="Arial"/>
          <w:sz w:val="16"/>
          <w:szCs w:val="16"/>
          <w:color w:val="auto"/>
        </w:rPr>
        <w:t>’</w:t>
      </w:r>
      <w:r>
        <w:rPr>
          <w:rFonts w:ascii="Arial" w:cs="Arial" w:eastAsia="Arial" w:hAnsi="Arial"/>
          <w:sz w:val="16"/>
          <w:szCs w:val="16"/>
          <w:b w:val="1"/>
          <w:bCs w:val="1"/>
          <w:color w:val="auto"/>
        </w:rPr>
        <w:t xml:space="preserve">s Continuous Service. </w:t>
      </w:r>
      <w:r>
        <w:rPr>
          <w:rFonts w:ascii="Arial" w:cs="Arial" w:eastAsia="Arial" w:hAnsi="Arial"/>
          <w:sz w:val="16"/>
          <w:szCs w:val="16"/>
          <w:color w:val="auto"/>
        </w:rPr>
        <w:t>Except as otherwise provided in the applicable Restricted Stock Unit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such portion of the Restricted Stock Unit Award that has not vested will be forfeited upon the Participant’s termination of Continuous Service.</w:t>
      </w:r>
    </w:p>
    <w:p>
      <w:pPr>
        <w:spacing w:after="0" w:line="115" w:lineRule="exact"/>
        <w:rPr>
          <w:rFonts w:ascii="Arial" w:cs="Arial" w:eastAsia="Arial" w:hAnsi="Arial"/>
          <w:sz w:val="16"/>
          <w:szCs w:val="16"/>
          <w:b w:val="1"/>
          <w:bCs w:val="1"/>
          <w:color w:val="auto"/>
        </w:rPr>
      </w:pPr>
    </w:p>
    <w:p>
      <w:pPr>
        <w:ind w:left="1040" w:hanging="388"/>
        <w:spacing w:after="0"/>
        <w:tabs>
          <w:tab w:leader="none" w:pos="1040"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222" w:lineRule="exact"/>
        <w:rPr>
          <w:rFonts w:ascii="Arial" w:cs="Arial" w:eastAsia="Arial" w:hAnsi="Arial"/>
          <w:sz w:val="18"/>
          <w:szCs w:val="18"/>
          <w:b w:val="1"/>
          <w:bCs w:val="1"/>
          <w:color w:val="auto"/>
        </w:rPr>
      </w:pPr>
    </w:p>
    <w:p>
      <w:pPr>
        <w:jc w:val="both"/>
        <w:ind w:firstLine="1297"/>
        <w:spacing w:after="0" w:line="254" w:lineRule="auto"/>
        <w:tabs>
          <w:tab w:leader="none" w:pos="1674" w:val="left"/>
        </w:tabs>
        <w:numPr>
          <w:ilvl w:val="1"/>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Performance Stock Awards</w:t>
      </w:r>
      <w:r>
        <w:rPr>
          <w:rFonts w:ascii="Arial" w:cs="Arial" w:eastAsia="Arial" w:hAnsi="Arial"/>
          <w:sz w:val="18"/>
          <w:szCs w:val="18"/>
          <w:color w:val="auto"/>
        </w:rPr>
        <w:t>. A Performance Stock Award is a Stock Award (covering a number of shares not in excess of that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in Section 3(d) above) that is payable (including that may be granted, may vest or may be exercised) contingent upon the attainment during a Performance Period of certain Performance Goals. A Performance Stock Award may, but need not, require the Participant’s completion of a specified period of Continuous Service. The length of any Performance Period, the Performance Goals to be achieved during the Performance Period, and the measure of whether and to what degree such Performance Goals have been attained will be conclusively determined by the Committee or the Board, in its sole discretion. In addition, to the extent permitted by applicable law and the applicable Award Agreement, the Board may determine that cash may be used in payment of Performance Stock Awards.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5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6" w:name="page127"/>
    <w:bookmarkEnd w:id="126"/>
    <w:p>
      <w:pPr>
        <w:jc w:val="both"/>
        <w:ind w:firstLine="1297"/>
        <w:spacing w:after="0" w:line="271" w:lineRule="auto"/>
        <w:tabs>
          <w:tab w:leader="none" w:pos="1688" w:val="left"/>
        </w:tabs>
        <w:numPr>
          <w:ilvl w:val="2"/>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Performance Cash Awards</w:t>
      </w:r>
      <w:r>
        <w:rPr>
          <w:rFonts w:ascii="Arial" w:cs="Arial" w:eastAsia="Arial" w:hAnsi="Arial"/>
          <w:sz w:val="17"/>
          <w:szCs w:val="17"/>
          <w:color w:val="auto"/>
        </w:rPr>
        <w:t>. A Performance Cash Award is a cash award (for a dollar value not in excess of that set forth in Section</w:t>
      </w:r>
      <w:r>
        <w:rPr>
          <w:rFonts w:ascii="Arial" w:cs="Arial" w:eastAsia="Arial" w:hAnsi="Arial"/>
          <w:sz w:val="17"/>
          <w:szCs w:val="17"/>
          <w:b w:val="1"/>
          <w:bCs w:val="1"/>
          <w:color w:val="auto"/>
        </w:rPr>
        <w:t xml:space="preserve"> </w:t>
      </w:r>
      <w:r>
        <w:rPr>
          <w:rFonts w:ascii="Arial" w:cs="Arial" w:eastAsia="Arial" w:hAnsi="Arial"/>
          <w:sz w:val="17"/>
          <w:szCs w:val="17"/>
          <w:color w:val="auto"/>
        </w:rPr>
        <w:t>3(d) above) that is payable contingent upon the attainment during a Performance Period of certain Performance Goals. A Performance Cash Award may also require the completion of a specified period of Continuous Service. At the time of grant of a Performance Cash Award, the length of any Performance Period, the Performance Goals to be achieved during the Performance Period, and the measure of whether and to what degree such Performance Goals have been attained will be conclusively determined by the Committee or the Board, in its sole discretion. The Board may specify the form of payment of Performance Cash Awards, which may be cash or other property, or may provide for a Participant to have the option for his or her Performance Cash Award, or such portion thereof as the Board may specify, to be paid in whole or in part in cash or other property.</w:t>
      </w:r>
    </w:p>
    <w:p>
      <w:pPr>
        <w:spacing w:after="0" w:line="174" w:lineRule="exact"/>
        <w:rPr>
          <w:rFonts w:ascii="Arial" w:cs="Arial" w:eastAsia="Arial" w:hAnsi="Arial"/>
          <w:sz w:val="17"/>
          <w:szCs w:val="17"/>
          <w:b w:val="1"/>
          <w:bCs w:val="1"/>
          <w:color w:val="auto"/>
        </w:rPr>
      </w:pPr>
    </w:p>
    <w:p>
      <w:pPr>
        <w:ind w:firstLine="1297"/>
        <w:spacing w:after="0" w:line="310" w:lineRule="auto"/>
        <w:tabs>
          <w:tab w:leader="none" w:pos="1867" w:val="left"/>
        </w:tabs>
        <w:numPr>
          <w:ilvl w:val="2"/>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Board Discretion</w:t>
      </w:r>
      <w:r>
        <w:rPr>
          <w:rFonts w:ascii="Arial" w:cs="Arial" w:eastAsia="Arial" w:hAnsi="Arial"/>
          <w:sz w:val="17"/>
          <w:szCs w:val="17"/>
          <w:color w:val="auto"/>
        </w:rPr>
        <w:t>. The Board retains the discretion to reduce or eliminate the compensation or economic benefit due upon</w:t>
      </w:r>
      <w:r>
        <w:rPr>
          <w:rFonts w:ascii="Arial" w:cs="Arial" w:eastAsia="Arial" w:hAnsi="Arial"/>
          <w:sz w:val="17"/>
          <w:szCs w:val="17"/>
          <w:b w:val="1"/>
          <w:bCs w:val="1"/>
          <w:color w:val="auto"/>
        </w:rPr>
        <w:t xml:space="preserve"> </w:t>
      </w:r>
      <w:r>
        <w:rPr>
          <w:rFonts w:ascii="Arial" w:cs="Arial" w:eastAsia="Arial" w:hAnsi="Arial"/>
          <w:sz w:val="17"/>
          <w:szCs w:val="17"/>
          <w:color w:val="auto"/>
        </w:rPr>
        <w:t>attainment of Performance Goals and to define the manner of calculating the Performance Criteria it selects to use for a Performance Period.</w:t>
      </w:r>
    </w:p>
    <w:p>
      <w:pPr>
        <w:spacing w:after="0" w:line="139" w:lineRule="exact"/>
        <w:rPr>
          <w:rFonts w:ascii="Arial" w:cs="Arial" w:eastAsia="Arial" w:hAnsi="Arial"/>
          <w:sz w:val="17"/>
          <w:szCs w:val="17"/>
          <w:b w:val="1"/>
          <w:bCs w:val="1"/>
          <w:color w:val="auto"/>
        </w:rPr>
      </w:pPr>
    </w:p>
    <w:p>
      <w:pPr>
        <w:jc w:val="both"/>
        <w:ind w:firstLine="652"/>
        <w:spacing w:after="0" w:line="273" w:lineRule="auto"/>
        <w:tabs>
          <w:tab w:leader="none" w:pos="1115" w:val="left"/>
        </w:tabs>
        <w:numPr>
          <w:ilvl w:val="1"/>
          <w:numId w:val="88"/>
        </w:numPr>
        <w:rPr>
          <w:rFonts w:ascii="Arial" w:cs="Arial" w:eastAsia="Arial" w:hAnsi="Arial"/>
          <w:sz w:val="17"/>
          <w:szCs w:val="17"/>
          <w:b w:val="1"/>
          <w:bCs w:val="1"/>
          <w:color w:val="auto"/>
        </w:rPr>
      </w:pPr>
      <w:r>
        <w:rPr>
          <w:rFonts w:ascii="Arial" w:cs="Arial" w:eastAsia="Arial" w:hAnsi="Arial"/>
          <w:sz w:val="17"/>
          <w:szCs w:val="17"/>
          <w:b w:val="1"/>
          <w:bCs w:val="1"/>
          <w:color w:val="auto"/>
        </w:rPr>
        <w:t>Other Stock Awards</w:t>
      </w:r>
      <w:r>
        <w:rPr>
          <w:rFonts w:ascii="Arial" w:cs="Arial" w:eastAsia="Arial" w:hAnsi="Arial"/>
          <w:sz w:val="17"/>
          <w:szCs w:val="17"/>
          <w:color w:val="auto"/>
        </w:rPr>
        <w:t>. Other forms of Stock Awards valued in whole or in part by reference to, or otherwise based on, Common Stock,</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appreciation in value thereof (e.g., options or stock rights with an exercise price or strike price less than 100% of the Fair Market Value of the Common Stock at the time of grant) may be granted either alone or in addition to Stock Awards provided for under Section 5 and the preceding provisions of this Section 6. Subject to the provisions of the Plan, the Board will have sole and complete authority to determine the persons to whom and the time or times at which such Other Stock Awards will be granted, the number of shares of Common Stock (or the cash equivalent thereof) to be granted pursuant to such Other Stock Awards and all other terms and conditions of such Other Stock Awards.</w:t>
      </w:r>
    </w:p>
    <w:p>
      <w:pPr>
        <w:spacing w:after="0" w:line="170" w:lineRule="exact"/>
        <w:rPr>
          <w:rFonts w:ascii="Arial" w:cs="Arial" w:eastAsia="Arial" w:hAnsi="Arial"/>
          <w:sz w:val="17"/>
          <w:szCs w:val="17"/>
          <w:b w:val="1"/>
          <w:bCs w:val="1"/>
          <w:color w:val="auto"/>
        </w:rPr>
      </w:pPr>
    </w:p>
    <w:p>
      <w:pPr>
        <w:ind w:left="320" w:hanging="313"/>
        <w:spacing w:after="0"/>
        <w:tabs>
          <w:tab w:leader="none" w:pos="320" w:val="left"/>
        </w:tabs>
        <w:numPr>
          <w:ilvl w:val="0"/>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Covenants of the Company.</w:t>
      </w:r>
    </w:p>
    <w:p>
      <w:pPr>
        <w:spacing w:after="0" w:line="222" w:lineRule="exact"/>
        <w:rPr>
          <w:rFonts w:ascii="Arial" w:cs="Arial" w:eastAsia="Arial" w:hAnsi="Arial"/>
          <w:sz w:val="18"/>
          <w:szCs w:val="18"/>
          <w:b w:val="1"/>
          <w:bCs w:val="1"/>
          <w:color w:val="auto"/>
        </w:rPr>
      </w:pPr>
    </w:p>
    <w:p>
      <w:pPr>
        <w:ind w:firstLine="652"/>
        <w:spacing w:after="0" w:line="280" w:lineRule="auto"/>
        <w:tabs>
          <w:tab w:leader="none" w:pos="1050" w:val="left"/>
        </w:tabs>
        <w:numPr>
          <w:ilvl w:val="1"/>
          <w:numId w:val="8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Availability of Shares. </w:t>
      </w:r>
      <w:r>
        <w:rPr>
          <w:rFonts w:ascii="Arial" w:cs="Arial" w:eastAsia="Arial" w:hAnsi="Arial"/>
          <w:sz w:val="18"/>
          <w:szCs w:val="18"/>
          <w:color w:val="auto"/>
        </w:rPr>
        <w:t>The Company will keep available at all times the number of shares of Common Stock reasonably required to satisfy</w:t>
      </w:r>
      <w:r>
        <w:rPr>
          <w:rFonts w:ascii="Arial" w:cs="Arial" w:eastAsia="Arial" w:hAnsi="Arial"/>
          <w:sz w:val="18"/>
          <w:szCs w:val="18"/>
          <w:b w:val="1"/>
          <w:bCs w:val="1"/>
          <w:color w:val="auto"/>
        </w:rPr>
        <w:t xml:space="preserve"> </w:t>
      </w:r>
      <w:r>
        <w:rPr>
          <w:rFonts w:ascii="Arial" w:cs="Arial" w:eastAsia="Arial" w:hAnsi="Arial"/>
          <w:sz w:val="18"/>
          <w:szCs w:val="18"/>
          <w:color w:val="auto"/>
        </w:rPr>
        <w:t>then-outstanding Awards.</w:t>
      </w:r>
    </w:p>
    <w:p>
      <w:pPr>
        <w:spacing w:after="0" w:line="161" w:lineRule="exact"/>
        <w:rPr>
          <w:rFonts w:ascii="Arial" w:cs="Arial" w:eastAsia="Arial" w:hAnsi="Arial"/>
          <w:sz w:val="18"/>
          <w:szCs w:val="18"/>
          <w:b w:val="1"/>
          <w:bCs w:val="1"/>
          <w:color w:val="auto"/>
        </w:rPr>
      </w:pPr>
    </w:p>
    <w:p>
      <w:pPr>
        <w:jc w:val="both"/>
        <w:ind w:firstLine="652"/>
        <w:spacing w:after="0" w:line="270" w:lineRule="auto"/>
        <w:tabs>
          <w:tab w:leader="none" w:pos="1043" w:val="left"/>
        </w:tabs>
        <w:numPr>
          <w:ilvl w:val="1"/>
          <w:numId w:val="8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Securities Law Compliance. </w:t>
      </w:r>
      <w:r>
        <w:rPr>
          <w:rFonts w:ascii="Arial" w:cs="Arial" w:eastAsia="Arial" w:hAnsi="Arial"/>
          <w:sz w:val="17"/>
          <w:szCs w:val="17"/>
          <w:color w:val="auto"/>
        </w:rPr>
        <w:t>The Company will seek to obtain from each regulatory commission or agency having jurisdiction over the Plan</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such authority as may be required to grant Stock Awards and to issue and sell shares of Common Stock upon exercise of the Stock Awards;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this undertaking will not require the Company to register under the Securities Act the Plan, any Stock Award or any Common Stock issued or</w:t>
      </w:r>
      <w:r>
        <w:rPr>
          <w:rFonts w:ascii="Arial" w:cs="Arial" w:eastAsia="Arial" w:hAnsi="Arial"/>
          <w:sz w:val="17"/>
          <w:szCs w:val="17"/>
          <w:i w:val="1"/>
          <w:iCs w:val="1"/>
          <w:color w:val="auto"/>
        </w:rPr>
        <w:t xml:space="preserve"> </w:t>
      </w:r>
      <w:r>
        <w:rPr>
          <w:rFonts w:ascii="Arial" w:cs="Arial" w:eastAsia="Arial" w:hAnsi="Arial"/>
          <w:sz w:val="17"/>
          <w:szCs w:val="17"/>
          <w:color w:val="auto"/>
        </w:rPr>
        <w:t>issuable pursuant to any such Stock Award. If, after reasonable efforts and at a reasonable cost, the Company is unable to obtain from any such regulatory commission or agency the authority that counsel for the Company deems necessary for the lawful issuance and sale of Common Stock under the Plan, the Company will be relieved from any liability for failure to issue and sell Common Stock upon exercise of such Stock Awards unless and until such authority is obtained. A Participant will not be eligible for the grant of an Award or the subsequent issuance of cash or Common Stock pursuant to the Award if such grant or issuance would be in violation of any applicable securities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7" w:name="page128"/>
    <w:bookmarkEnd w:id="127"/>
    <w:p>
      <w:pPr>
        <w:jc w:val="both"/>
        <w:ind w:firstLine="652"/>
        <w:spacing w:after="0" w:line="259" w:lineRule="auto"/>
        <w:tabs>
          <w:tab w:leader="none" w:pos="1033" w:val="left"/>
        </w:tabs>
        <w:numPr>
          <w:ilvl w:val="1"/>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 Obligation to Notify or Minimize Taxes. </w:t>
      </w:r>
      <w:r>
        <w:rPr>
          <w:rFonts w:ascii="Arial" w:cs="Arial" w:eastAsia="Arial" w:hAnsi="Arial"/>
          <w:sz w:val="18"/>
          <w:szCs w:val="18"/>
          <w:color w:val="auto"/>
        </w:rPr>
        <w:t>The Company will have no duty or obligation to any Participant to advise such holder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time or manner of exercising such Stock Award. Furthermore, the Company will have no duty or obligation to warn or otherwise advise such holder of a pending termination or expiration of an Award or a possible period in which the Award may not be exercised. The Company has no duty or obligation to minimize the tax consequences of an Award to the holder of such Award.</w:t>
      </w:r>
    </w:p>
    <w:p>
      <w:pPr>
        <w:spacing w:after="0" w:line="181" w:lineRule="exact"/>
        <w:rPr>
          <w:rFonts w:ascii="Arial" w:cs="Arial" w:eastAsia="Arial" w:hAnsi="Arial"/>
          <w:sz w:val="18"/>
          <w:szCs w:val="18"/>
          <w:b w:val="1"/>
          <w:bCs w:val="1"/>
          <w:color w:val="auto"/>
        </w:rPr>
      </w:pPr>
    </w:p>
    <w:p>
      <w:pPr>
        <w:ind w:left="320" w:hanging="313"/>
        <w:spacing w:after="0"/>
        <w:tabs>
          <w:tab w:leader="none" w:pos="320" w:val="left"/>
        </w:tabs>
        <w:numPr>
          <w:ilvl w:val="0"/>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222" w:lineRule="exact"/>
        <w:rPr>
          <w:rFonts w:ascii="Arial" w:cs="Arial" w:eastAsia="Arial" w:hAnsi="Arial"/>
          <w:sz w:val="18"/>
          <w:szCs w:val="18"/>
          <w:b w:val="1"/>
          <w:bCs w:val="1"/>
          <w:color w:val="auto"/>
        </w:rPr>
      </w:pPr>
    </w:p>
    <w:p>
      <w:pPr>
        <w:ind w:firstLine="652"/>
        <w:spacing w:after="0" w:line="280" w:lineRule="auto"/>
        <w:tabs>
          <w:tab w:leader="none" w:pos="1104"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Use of Proceeds from Sales of Common Stock. </w:t>
      </w:r>
      <w:r>
        <w:rPr>
          <w:rFonts w:ascii="Arial" w:cs="Arial" w:eastAsia="Arial" w:hAnsi="Arial"/>
          <w:sz w:val="18"/>
          <w:szCs w:val="18"/>
          <w:color w:val="auto"/>
        </w:rPr>
        <w:t>Proceeds from the sale of shares of Common Stock pursuant to Awards will constitute</w:t>
      </w:r>
      <w:r>
        <w:rPr>
          <w:rFonts w:ascii="Arial" w:cs="Arial" w:eastAsia="Arial" w:hAnsi="Arial"/>
          <w:sz w:val="18"/>
          <w:szCs w:val="18"/>
          <w:b w:val="1"/>
          <w:bCs w:val="1"/>
          <w:color w:val="auto"/>
        </w:rPr>
        <w:t xml:space="preserve"> </w:t>
      </w:r>
      <w:r>
        <w:rPr>
          <w:rFonts w:ascii="Arial" w:cs="Arial" w:eastAsia="Arial" w:hAnsi="Arial"/>
          <w:sz w:val="18"/>
          <w:szCs w:val="18"/>
          <w:color w:val="auto"/>
        </w:rPr>
        <w:t>general funds of the Company.</w:t>
      </w:r>
    </w:p>
    <w:p>
      <w:pPr>
        <w:spacing w:after="0" w:line="161" w:lineRule="exact"/>
        <w:rPr>
          <w:rFonts w:ascii="Arial" w:cs="Arial" w:eastAsia="Arial" w:hAnsi="Arial"/>
          <w:sz w:val="18"/>
          <w:szCs w:val="18"/>
          <w:b w:val="1"/>
          <w:bCs w:val="1"/>
          <w:color w:val="auto"/>
        </w:rPr>
      </w:pPr>
    </w:p>
    <w:p>
      <w:pPr>
        <w:jc w:val="both"/>
        <w:ind w:firstLine="652"/>
        <w:spacing w:after="0" w:line="254" w:lineRule="auto"/>
        <w:tabs>
          <w:tab w:leader="none" w:pos="1043" w:val="left"/>
        </w:tabs>
        <w:numPr>
          <w:ilvl w:val="1"/>
          <w:numId w:val="9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Action Constituting Grant of Awards. </w:t>
      </w:r>
      <w:r>
        <w:rPr>
          <w:rFonts w:ascii="Arial" w:cs="Arial" w:eastAsia="Arial" w:hAnsi="Arial"/>
          <w:sz w:val="18"/>
          <w:szCs w:val="18"/>
          <w:color w:val="auto"/>
        </w:rPr>
        <w:t>Corporate action constituting a grant by the Company of an Award to any Participant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deemed completed as of the date of such corporate action, unless otherwise determined by the Board, regardless of when the instrument, certificate, or letter evidencing the Award is communicated to, or actually received or accepted by, the Participant. In the event that the corporate records (e.g., Board consents, resolutions or minutes) documenting the corporate action constituting the grant contain terms (e.g., exercise price, vesting schedule or number of shares) that are inconsistent with those in the Award Agreement or related grant documents as a result of a clerical error in the papering of the Award Agreement or related grant documents, the corporate records will control and the Participant will have no legally binding right to the incorrect term in the Award Agreement or related grant documents.</w:t>
      </w:r>
    </w:p>
    <w:p>
      <w:pPr>
        <w:spacing w:after="0" w:line="186" w:lineRule="exact"/>
        <w:rPr>
          <w:rFonts w:ascii="Arial" w:cs="Arial" w:eastAsia="Arial" w:hAnsi="Arial"/>
          <w:sz w:val="18"/>
          <w:szCs w:val="18"/>
          <w:b w:val="1"/>
          <w:bCs w:val="1"/>
          <w:color w:val="auto"/>
        </w:rPr>
      </w:pPr>
    </w:p>
    <w:p>
      <w:pPr>
        <w:jc w:val="both"/>
        <w:ind w:firstLine="652"/>
        <w:spacing w:after="0" w:line="312" w:lineRule="auto"/>
        <w:tabs>
          <w:tab w:leader="none" w:pos="1033" w:val="left"/>
        </w:tabs>
        <w:numPr>
          <w:ilvl w:val="1"/>
          <w:numId w:val="9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Stockholder Rights. </w:t>
      </w:r>
      <w:r>
        <w:rPr>
          <w:rFonts w:ascii="Arial" w:cs="Arial" w:eastAsia="Arial" w:hAnsi="Arial"/>
          <w:sz w:val="16"/>
          <w:szCs w:val="16"/>
          <w:color w:val="auto"/>
        </w:rPr>
        <w:t>No Participant will be deemed to be the holder of, or to have any of the rights of a holder with respect to, any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Common Stock subject to an Award unless and until (i) such Participant has satisfied all requirements for exercise of, or the issuance of shares under, the Award pursuant to its terms, and (ii) the issuance of the Common Stock subject to such Award has been entered into the books and records of the Company.</w:t>
      </w:r>
    </w:p>
    <w:p>
      <w:pPr>
        <w:spacing w:after="0" w:line="142" w:lineRule="exact"/>
        <w:rPr>
          <w:rFonts w:ascii="Arial" w:cs="Arial" w:eastAsia="Arial" w:hAnsi="Arial"/>
          <w:sz w:val="16"/>
          <w:szCs w:val="16"/>
          <w:b w:val="1"/>
          <w:bCs w:val="1"/>
          <w:color w:val="auto"/>
        </w:rPr>
      </w:pPr>
    </w:p>
    <w:p>
      <w:pPr>
        <w:jc w:val="both"/>
        <w:ind w:firstLine="652"/>
        <w:spacing w:after="0" w:line="273" w:lineRule="auto"/>
        <w:tabs>
          <w:tab w:leader="none" w:pos="1091" w:val="left"/>
        </w:tabs>
        <w:numPr>
          <w:ilvl w:val="1"/>
          <w:numId w:val="91"/>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 Employment or Other Service Rights. </w:t>
      </w:r>
      <w:r>
        <w:rPr>
          <w:rFonts w:ascii="Arial" w:cs="Arial" w:eastAsia="Arial" w:hAnsi="Arial"/>
          <w:sz w:val="17"/>
          <w:szCs w:val="17"/>
          <w:color w:val="auto"/>
        </w:rPr>
        <w:t>Nothing in the Plan, any Award Agreement or any other instrument executed thereunder or in</w:t>
      </w:r>
      <w:r>
        <w:rPr>
          <w:rFonts w:ascii="Arial" w:cs="Arial" w:eastAsia="Arial" w:hAnsi="Arial"/>
          <w:sz w:val="17"/>
          <w:szCs w:val="17"/>
          <w:b w:val="1"/>
          <w:bCs w:val="1"/>
          <w:color w:val="auto"/>
        </w:rPr>
        <w:t xml:space="preserve"> </w:t>
      </w:r>
      <w:r>
        <w:rPr>
          <w:rFonts w:ascii="Arial" w:cs="Arial" w:eastAsia="Arial" w:hAnsi="Arial"/>
          <w:sz w:val="17"/>
          <w:szCs w:val="17"/>
          <w:color w:val="auto"/>
        </w:rPr>
        <w:t>connection with any Award granted pursuant thereto will confer upon any Participant any right to continue to serve the Company or an Affiliate in the capacity in effect at the time the Award was granted or will affect the right of the Company or an Affiliate to terminate (i) the employment of an Employee with or without notice and with or without cause, (ii) the service of a Consultant pursuant to the terms of such Consultant’s agreement with the Company or an Affiliate, or (iii) the service of a Director pursuant to the bylaws of the Company or an Affiliate, and any applicable provisions of the corporate law of the state in which the Company or the Affiliate is incorporated, as the case may be.</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8" w:name="page129"/>
    <w:bookmarkEnd w:id="128"/>
    <w:p>
      <w:pPr>
        <w:jc w:val="both"/>
        <w:ind w:firstLine="652"/>
        <w:spacing w:after="0" w:line="271" w:lineRule="auto"/>
        <w:tabs>
          <w:tab w:leader="none" w:pos="1023" w:val="left"/>
        </w:tabs>
        <w:numPr>
          <w:ilvl w:val="1"/>
          <w:numId w:val="9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Change in Time Commitment. </w:t>
      </w:r>
      <w:r>
        <w:rPr>
          <w:rFonts w:ascii="Arial" w:cs="Arial" w:eastAsia="Arial" w:hAnsi="Arial"/>
          <w:sz w:val="17"/>
          <w:szCs w:val="17"/>
          <w:color w:val="auto"/>
        </w:rPr>
        <w:t>In the event a Participant’s regular level of time commitment in the performance of his or her services for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any Affiliates is reduced (for example, and without limitation, if the Participant is an Employee of the Company and the Employee has a change in status from a full-time Employee to a part-time Employee or takes an extended leave of absence) after the date of grant of any Award to the Participant, the Board has the right in its sole discretion to (x) make a corresponding reduction in the number of shares or cash amount subject to any portion of such Award that is scheduled to vest or become payable after the date of such change in time commitment, and (y) in lieu of or in combination with such a reduction, extend the vesting or payment schedule applicable to such Award. In the event of any such reduction or extension, the Participant will have no right with respect to any portion of the Award that is so reduced or extended.</w:t>
      </w:r>
    </w:p>
    <w:p>
      <w:pPr>
        <w:spacing w:after="0" w:line="174" w:lineRule="exact"/>
        <w:rPr>
          <w:rFonts w:ascii="Arial" w:cs="Arial" w:eastAsia="Arial" w:hAnsi="Arial"/>
          <w:sz w:val="17"/>
          <w:szCs w:val="17"/>
          <w:b w:val="1"/>
          <w:bCs w:val="1"/>
          <w:color w:val="auto"/>
        </w:rPr>
      </w:pPr>
    </w:p>
    <w:p>
      <w:pPr>
        <w:jc w:val="both"/>
        <w:ind w:firstLine="652"/>
        <w:spacing w:after="0" w:line="296" w:lineRule="auto"/>
        <w:tabs>
          <w:tab w:leader="none" w:pos="1018"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Incentive Stock Option Limitations. </w:t>
      </w:r>
      <w:r>
        <w:rPr>
          <w:rFonts w:ascii="Arial" w:cs="Arial" w:eastAsia="Arial" w:hAnsi="Arial"/>
          <w:sz w:val="16"/>
          <w:szCs w:val="16"/>
          <w:color w:val="auto"/>
        </w:rPr>
        <w:t>To the extent that the aggregate Fair Market Value (determined at the time of grant) of Common Stock</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which Incentive Stock Options are exercisable for the first time by any Optionholder during any calendar year (under all plans of the Company and any Affiliates) exceeds $100,000 (or such other limit established in the Code) or otherwise does not comply with the rules governing Incentive Stock Options, the Options or portions thereof that exceed such limit (according to the order in which they were granted) or otherwise do not comply with such rules will be treated as Nonstatutory Stock Options, notwithstanding any contrary provision of the applicable Option Agreement(s).</w:t>
      </w:r>
    </w:p>
    <w:p>
      <w:pPr>
        <w:spacing w:after="0" w:line="155" w:lineRule="exact"/>
        <w:rPr>
          <w:rFonts w:ascii="Arial" w:cs="Arial" w:eastAsia="Arial" w:hAnsi="Arial"/>
          <w:sz w:val="16"/>
          <w:szCs w:val="16"/>
          <w:b w:val="1"/>
          <w:bCs w:val="1"/>
          <w:color w:val="auto"/>
        </w:rPr>
      </w:pPr>
    </w:p>
    <w:p>
      <w:pPr>
        <w:ind w:left="1040" w:hanging="388"/>
        <w:spacing w:after="0"/>
        <w:tabs>
          <w:tab w:leader="none" w:pos="1040" w:val="left"/>
        </w:tabs>
        <w:numPr>
          <w:ilvl w:val="1"/>
          <w:numId w:val="9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Investment Assurances. </w:t>
      </w:r>
      <w:r>
        <w:rPr>
          <w:rFonts w:ascii="Arial" w:cs="Arial" w:eastAsia="Arial" w:hAnsi="Arial"/>
          <w:sz w:val="16"/>
          <w:szCs w:val="16"/>
          <w:color w:val="auto"/>
        </w:rPr>
        <w:t>The Company may require a Participant, as a condition of exercising or acquiring Common Stock under any Award,</w:t>
      </w:r>
    </w:p>
    <w:p>
      <w:pPr>
        <w:spacing w:after="0" w:line="49" w:lineRule="exact"/>
        <w:rPr>
          <w:rFonts w:ascii="Arial" w:cs="Arial" w:eastAsia="Arial" w:hAnsi="Arial"/>
          <w:sz w:val="16"/>
          <w:szCs w:val="16"/>
          <w:b w:val="1"/>
          <w:bCs w:val="1"/>
          <w:color w:val="auto"/>
        </w:rPr>
      </w:pPr>
    </w:p>
    <w:p>
      <w:pPr>
        <w:jc w:val="both"/>
        <w:ind w:firstLine="7"/>
        <w:spacing w:after="0" w:line="284" w:lineRule="auto"/>
        <w:tabs>
          <w:tab w:leader="none" w:pos="236" w:val="left"/>
        </w:tabs>
        <w:numPr>
          <w:ilvl w:val="0"/>
          <w:numId w:val="93"/>
        </w:numPr>
        <w:rPr>
          <w:rFonts w:ascii="Arial" w:cs="Arial" w:eastAsia="Arial" w:hAnsi="Arial"/>
          <w:sz w:val="16"/>
          <w:szCs w:val="16"/>
          <w:color w:val="auto"/>
        </w:rPr>
      </w:pPr>
      <w:r>
        <w:rPr>
          <w:rFonts w:ascii="Arial" w:cs="Arial" w:eastAsia="Arial" w:hAnsi="Arial"/>
          <w:sz w:val="16"/>
          <w:szCs w:val="16"/>
          <w:color w:val="auto"/>
        </w:rPr>
        <w:t>to give written assurances satisfactory to the Company as to the Participant’s knowledge and experience in financial and business matters and/or to employ a purchaser representative reasonably satisfactory to the Company who is knowledgeable and experienced in financial and business matters and that he or she is capable of evaluating, alone or together with the purchaser representative, the merits and risks of exercising the Award; and (ii) to give written assurances satisfactory to the Company stating that the Participant is acquiring Common Stock subject to the Award for the Participant’s own account and not with any present intention of selling or otherwise distributing the Common Stock. The foregoing requirements, and any assurances given pursuant to such requirements, will be inoperative if (A) the issuance of the shares upon the exercise or acquisition of Common Stock under the Award has been registered under a then currently effective registration statement under the Securities Act, or (B) as to any particular requirement, a determination is made by counsel for the Company that such requirement need not be met in the circumstances under the then applicable securities laws. The Company may, upon advice of counsel to the Company, place legends on stock certificates issued under the Plan as such counsel deems necessary or appropriate in order to comply with applicable securities laws, including, but not limited to, legends restricting the transfer of the Common Stock.</w:t>
      </w:r>
    </w:p>
    <w:p>
      <w:pPr>
        <w:spacing w:after="0" w:line="169" w:lineRule="exact"/>
        <w:rPr>
          <w:rFonts w:ascii="Arial" w:cs="Arial" w:eastAsia="Arial" w:hAnsi="Arial"/>
          <w:sz w:val="16"/>
          <w:szCs w:val="16"/>
          <w:color w:val="auto"/>
        </w:rPr>
      </w:pPr>
    </w:p>
    <w:p>
      <w:pPr>
        <w:jc w:val="both"/>
        <w:ind w:firstLine="652"/>
        <w:spacing w:after="0" w:line="271" w:lineRule="auto"/>
        <w:tabs>
          <w:tab w:leader="none" w:pos="1115" w:val="left"/>
        </w:tabs>
        <w:numPr>
          <w:ilvl w:val="1"/>
          <w:numId w:val="9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Withholding Obligations. </w:t>
      </w:r>
      <w:r>
        <w:rPr>
          <w:rFonts w:ascii="Arial" w:cs="Arial" w:eastAsia="Arial" w:hAnsi="Arial"/>
          <w:sz w:val="17"/>
          <w:szCs w:val="17"/>
          <w:color w:val="auto"/>
        </w:rPr>
        <w:t>Unless prohibited by the terms of an Award Agreement, the Company may, in its sole discretion, satisfy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federal, state or local tax withholding obligation relating to an Award by any of the following means or by a combination of such means: (i) causing the Participant to tender a cash payment; (ii) withholding shares of Common Stock from the shares of Common Stock issued or otherwise issuable to the Participant in connection with the Award; </w:t>
      </w:r>
      <w:r>
        <w:rPr>
          <w:rFonts w:ascii="Arial" w:cs="Arial" w:eastAsia="Arial" w:hAnsi="Arial"/>
          <w:sz w:val="17"/>
          <w:szCs w:val="17"/>
          <w:i w:val="1"/>
          <w:iCs w:val="1"/>
          <w:color w:val="auto"/>
        </w:rPr>
        <w:t>provided, however,</w:t>
      </w:r>
      <w:r>
        <w:rPr>
          <w:rFonts w:ascii="Arial" w:cs="Arial" w:eastAsia="Arial" w:hAnsi="Arial"/>
          <w:sz w:val="17"/>
          <w:szCs w:val="17"/>
          <w:color w:val="auto"/>
        </w:rPr>
        <w:t xml:space="preserve"> that no shares of Common Stock are withheld with a value exceeding the minimum amount of tax required to be withheld by law (or such lesser amount as may be necessary to avoid classification of the Stock Award as a liability for financial accounting purposes); (iii) withholding cash from an Award settled in cash; (iv) withholding payment from any amounts otherwise payable to the Participant; or (v) by such other method as may be set forth in the Award Agreement.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29" w:name="page130"/>
    <w:bookmarkEnd w:id="129"/>
    <w:p>
      <w:pPr>
        <w:jc w:val="both"/>
        <w:ind w:firstLine="652"/>
        <w:spacing w:after="0" w:line="264" w:lineRule="auto"/>
        <w:tabs>
          <w:tab w:leader="none" w:pos="1133" w:val="left"/>
        </w:tabs>
        <w:numPr>
          <w:ilvl w:val="0"/>
          <w:numId w:val="94"/>
        </w:numPr>
        <w:rPr>
          <w:rFonts w:ascii="Arial" w:cs="Arial" w:eastAsia="Arial" w:hAnsi="Arial"/>
          <w:sz w:val="18"/>
          <w:szCs w:val="18"/>
          <w:b w:val="1"/>
          <w:bCs w:val="1"/>
          <w:color w:val="auto"/>
        </w:rPr>
      </w:pPr>
      <w:r>
        <w:rPr>
          <w:rFonts w:ascii="Arial" w:cs="Arial" w:eastAsia="Arial" w:hAnsi="Arial"/>
          <w:sz w:val="18"/>
          <w:szCs w:val="18"/>
          <w:b w:val="1"/>
          <w:bCs w:val="1"/>
          <w:color w:val="auto"/>
        </w:rPr>
        <w:t>Electronic Delivery</w:t>
      </w:r>
      <w:r>
        <w:rPr>
          <w:rFonts w:ascii="Arial" w:cs="Arial" w:eastAsia="Arial" w:hAnsi="Arial"/>
          <w:sz w:val="18"/>
          <w:szCs w:val="18"/>
          <w:color w:val="auto"/>
        </w:rPr>
        <w:t>. Any reference herein to a “written” agreement or document will include any agreement or document delivered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electronically, filed publicly at </w:t>
      </w:r>
      <w:r>
        <w:rPr>
          <w:rFonts w:ascii="Arial" w:cs="Arial" w:eastAsia="Arial" w:hAnsi="Arial"/>
          <w:sz w:val="18"/>
          <w:szCs w:val="18"/>
          <w:u w:val="single" w:color="auto"/>
          <w:color w:val="auto"/>
        </w:rPr>
        <w:t>www.sec.gov</w:t>
      </w:r>
      <w:r>
        <w:rPr>
          <w:rFonts w:ascii="Arial" w:cs="Arial" w:eastAsia="Arial" w:hAnsi="Arial"/>
          <w:sz w:val="18"/>
          <w:szCs w:val="18"/>
          <w:color w:val="auto"/>
        </w:rPr>
        <w:t xml:space="preserve"> (or any successor website thereto) or posted on the Company’s intranet (or other shared electronic medium controlled by the Company to which the Participant has access).</w:t>
      </w:r>
    </w:p>
    <w:p>
      <w:pPr>
        <w:spacing w:after="0" w:line="176" w:lineRule="exact"/>
        <w:rPr>
          <w:rFonts w:ascii="Arial" w:cs="Arial" w:eastAsia="Arial" w:hAnsi="Arial"/>
          <w:sz w:val="18"/>
          <w:szCs w:val="18"/>
          <w:b w:val="1"/>
          <w:bCs w:val="1"/>
          <w:color w:val="auto"/>
        </w:rPr>
      </w:pPr>
    </w:p>
    <w:p>
      <w:pPr>
        <w:jc w:val="both"/>
        <w:ind w:firstLine="652"/>
        <w:spacing w:after="0" w:line="271" w:lineRule="auto"/>
        <w:tabs>
          <w:tab w:leader="none" w:pos="1030" w:val="left"/>
        </w:tabs>
        <w:numPr>
          <w:ilvl w:val="0"/>
          <w:numId w:val="94"/>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Deferrals. </w:t>
      </w:r>
      <w:r>
        <w:rPr>
          <w:rFonts w:ascii="Arial" w:cs="Arial" w:eastAsia="Arial" w:hAnsi="Arial"/>
          <w:sz w:val="17"/>
          <w:szCs w:val="17"/>
          <w:color w:val="auto"/>
        </w:rPr>
        <w:t>To the extent permitted by applicable law, the Board, in its sole discretion, may determine that the delivery of Common Stock or</w:t>
      </w:r>
      <w:r>
        <w:rPr>
          <w:rFonts w:ascii="Arial" w:cs="Arial" w:eastAsia="Arial" w:hAnsi="Arial"/>
          <w:sz w:val="17"/>
          <w:szCs w:val="17"/>
          <w:b w:val="1"/>
          <w:bCs w:val="1"/>
          <w:color w:val="auto"/>
        </w:rPr>
        <w:t xml:space="preserve"> </w:t>
      </w:r>
      <w:r>
        <w:rPr>
          <w:rFonts w:ascii="Arial" w:cs="Arial" w:eastAsia="Arial" w:hAnsi="Arial"/>
          <w:sz w:val="17"/>
          <w:szCs w:val="17"/>
          <w:color w:val="auto"/>
        </w:rPr>
        <w:t>the payment of cash, upon the exercise, vesting or settlement of all or a portion of any Award may be deferred and may establish programs and procedures for deferral elections to be made by Participants. Deferrals by Participants will be made in accordance with Section 409A of the Code. Consistent with Section 409A of the Code, the Board may provide for distributions while a Participant is still an employee or otherwise providing services to the Company. The Board is authorized to make deferrals of Awards and determine when, and in what annual percentages, Participants may receive payments, including lump sum payments, following the Participant’s termination of Continuous Service, and implement such other terms and conditions consistent with the provisions of the Plan and in accordance with applicable law.</w:t>
      </w:r>
    </w:p>
    <w:p>
      <w:pPr>
        <w:spacing w:after="0" w:line="174" w:lineRule="exact"/>
        <w:rPr>
          <w:rFonts w:ascii="Arial" w:cs="Arial" w:eastAsia="Arial" w:hAnsi="Arial"/>
          <w:sz w:val="17"/>
          <w:szCs w:val="17"/>
          <w:b w:val="1"/>
          <w:bCs w:val="1"/>
          <w:color w:val="auto"/>
        </w:rPr>
      </w:pPr>
    </w:p>
    <w:p>
      <w:pPr>
        <w:jc w:val="both"/>
        <w:ind w:firstLine="652"/>
        <w:spacing w:after="0" w:line="286" w:lineRule="auto"/>
        <w:tabs>
          <w:tab w:leader="none" w:pos="1070" w:val="left"/>
        </w:tabs>
        <w:numPr>
          <w:ilvl w:val="0"/>
          <w:numId w:val="94"/>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Compliance with Section 409A. </w:t>
      </w:r>
      <w:r>
        <w:rPr>
          <w:rFonts w:ascii="Arial" w:cs="Arial" w:eastAsia="Arial" w:hAnsi="Arial"/>
          <w:sz w:val="16"/>
          <w:szCs w:val="16"/>
          <w:color w:val="auto"/>
        </w:rPr>
        <w:t>Unless otherwise expressly provided for in an Award Agreement, the Plan and Award Agreements will be</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interpreted to the greatest extent possible in a manner that makes the Plan and the Awards granted hereunder exempt from Section 409A of the Code, and, to the extent not so exempt, in compliance with Section 409A of the Code. If the Board determines that any Award granted hereunder is not exempt from and is therefore subject to Section 409A of the Code, the Award Agreement evidencing such Award will incorporate the terms and conditions necessary to avoid the consequences specified in Section 409A(a)(1) of the Code, and to the extent an Award Agreement is silent on terms necessary for compliance, such terms are hereby incorporated by reference into the Award Agreement. Notwithstanding anything to the contrary in this Plan (and unless the Award Agreement specifically provides otherwise), if the shares of Common Stock are publicly traded, and if a Participant holding an Award that constitutes “deferred compensation” under Section 409A of the Code is a “specified employee” for purposes of Section 409A of the Code, no distribution or payment of any amount that is due because of a “separation from service” (as defined in Section 409A of the Code without regard to alternative definitions thereunder) will be issued or paid before the date that is six months following the date of such Participant’s “separation from service” or, if earlier, the date of the Participant’s death, unless such distribution or payment can be made in a manner that complies with Section 409A of the Code, and any amounts so deferred will be paid in a lump sum on the day after such six month period elapses, with the balance paid thereafter on the original schedule.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0" w:name="page131"/>
    <w:bookmarkEnd w:id="130"/>
    <w:p>
      <w:pPr>
        <w:jc w:val="both"/>
        <w:ind w:firstLine="652"/>
        <w:spacing w:after="0" w:line="271" w:lineRule="auto"/>
        <w:tabs>
          <w:tab w:leader="none" w:pos="1074" w:val="left"/>
        </w:tabs>
        <w:numPr>
          <w:ilvl w:val="1"/>
          <w:numId w:val="95"/>
        </w:numPr>
        <w:rPr>
          <w:rFonts w:ascii="Arial" w:cs="Arial" w:eastAsia="Arial" w:hAnsi="Arial"/>
          <w:sz w:val="17"/>
          <w:szCs w:val="17"/>
          <w:b w:val="1"/>
          <w:bCs w:val="1"/>
          <w:color w:val="auto"/>
        </w:rPr>
      </w:pPr>
      <w:r>
        <w:rPr>
          <w:rFonts w:ascii="Arial" w:cs="Arial" w:eastAsia="Arial" w:hAnsi="Arial"/>
          <w:sz w:val="17"/>
          <w:szCs w:val="17"/>
          <w:b w:val="1"/>
          <w:bCs w:val="1"/>
          <w:color w:val="auto"/>
        </w:rPr>
        <w:t>Clawback/Recovery</w:t>
      </w:r>
      <w:r>
        <w:rPr>
          <w:rFonts w:ascii="Arial" w:cs="Arial" w:eastAsia="Arial" w:hAnsi="Arial"/>
          <w:sz w:val="17"/>
          <w:szCs w:val="17"/>
          <w:color w:val="auto"/>
        </w:rPr>
        <w:t>. All Awards granted under the Plan will be subject to recoupment in accordance with any clawback policy that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is required to adopt pursuant to the listing standards of any national securities exchange or association on which the Company’s securities are listed or as is otherwise required by the Dodd-Frank Wall Street Reform and Consumer Protection Act or other applicable law. In addition, the Board may impose such other clawback, recovery or recoupment provisions in an Award Agreement as the Board determines necessary or appropriate, including but not limited to a reacquisition right in respect of previously acquired shares of Common Stock or other cash or property upon the occurrence of an event constituting Cause. No recovery of compensation under such a clawback policy will be an event giving rise to a right to resign for “good reason” or “constructive termination” (or similar term) under any agreement with the Company.</w:t>
      </w:r>
    </w:p>
    <w:p>
      <w:pPr>
        <w:spacing w:after="0" w:line="174" w:lineRule="exact"/>
        <w:rPr>
          <w:rFonts w:ascii="Arial" w:cs="Arial" w:eastAsia="Arial" w:hAnsi="Arial"/>
          <w:sz w:val="17"/>
          <w:szCs w:val="17"/>
          <w:b w:val="1"/>
          <w:bCs w:val="1"/>
          <w:color w:val="auto"/>
        </w:rPr>
      </w:pPr>
    </w:p>
    <w:p>
      <w:pPr>
        <w:ind w:left="320" w:hanging="313"/>
        <w:spacing w:after="0"/>
        <w:tabs>
          <w:tab w:leader="none" w:pos="32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Other Corporate Events.</w:t>
      </w:r>
    </w:p>
    <w:p>
      <w:pPr>
        <w:spacing w:after="0" w:line="222" w:lineRule="exact"/>
        <w:rPr>
          <w:rFonts w:ascii="Arial" w:cs="Arial" w:eastAsia="Arial" w:hAnsi="Arial"/>
          <w:sz w:val="18"/>
          <w:szCs w:val="18"/>
          <w:b w:val="1"/>
          <w:bCs w:val="1"/>
          <w:color w:val="auto"/>
        </w:rPr>
      </w:pPr>
    </w:p>
    <w:p>
      <w:pPr>
        <w:jc w:val="both"/>
        <w:ind w:firstLine="652"/>
        <w:spacing w:after="0" w:line="275" w:lineRule="auto"/>
        <w:tabs>
          <w:tab w:leader="none" w:pos="1097" w:val="left"/>
        </w:tabs>
        <w:numPr>
          <w:ilvl w:val="1"/>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Capitalization Adjustments</w:t>
      </w:r>
      <w:r>
        <w:rPr>
          <w:rFonts w:ascii="Arial" w:cs="Arial" w:eastAsia="Arial" w:hAnsi="Arial"/>
          <w:sz w:val="17"/>
          <w:szCs w:val="17"/>
          <w:color w:val="auto"/>
        </w:rPr>
        <w:t>. In the event of a Capitalization Adjustment, the Board will appropriately and proportionately adjust: (i) the</w:t>
      </w:r>
      <w:r>
        <w:rPr>
          <w:rFonts w:ascii="Arial" w:cs="Arial" w:eastAsia="Arial" w:hAnsi="Arial"/>
          <w:sz w:val="17"/>
          <w:szCs w:val="17"/>
          <w:b w:val="1"/>
          <w:bCs w:val="1"/>
          <w:color w:val="auto"/>
        </w:rPr>
        <w:t xml:space="preserve"> </w:t>
      </w:r>
      <w:r>
        <w:rPr>
          <w:rFonts w:ascii="Arial" w:cs="Arial" w:eastAsia="Arial" w:hAnsi="Arial"/>
          <w:sz w:val="17"/>
          <w:szCs w:val="17"/>
          <w:color w:val="auto"/>
        </w:rPr>
        <w:t>class(es) and maximum number of securities subject to the Plan pursuant to Section 3(a), (ii) the class(es) and maximum number of securities that may be issued pursuant to the exercise of Incentive Stock Options pursuant to Section 3(c), (iii) the class(es) and maximum number of securities that may be awarded to any person pursuant to Sections 3(d), and (iv) the class(es) and number of securities and price per share of stock subject to outstanding Stock Awards. The Board will make such adjustments, and its determination will be final, binding and conclusive.</w:t>
      </w:r>
    </w:p>
    <w:p>
      <w:pPr>
        <w:spacing w:after="0" w:line="170" w:lineRule="exact"/>
        <w:rPr>
          <w:rFonts w:ascii="Arial" w:cs="Arial" w:eastAsia="Arial" w:hAnsi="Arial"/>
          <w:sz w:val="17"/>
          <w:szCs w:val="17"/>
          <w:b w:val="1"/>
          <w:bCs w:val="1"/>
          <w:color w:val="auto"/>
        </w:rPr>
      </w:pPr>
    </w:p>
    <w:p>
      <w:pPr>
        <w:jc w:val="both"/>
        <w:ind w:firstLine="652"/>
        <w:spacing w:after="0" w:line="271" w:lineRule="auto"/>
        <w:tabs>
          <w:tab w:leader="none" w:pos="1061" w:val="left"/>
        </w:tabs>
        <w:numPr>
          <w:ilvl w:val="1"/>
          <w:numId w:val="96"/>
        </w:numPr>
        <w:rPr>
          <w:rFonts w:ascii="Arial" w:cs="Arial" w:eastAsia="Arial" w:hAnsi="Arial"/>
          <w:sz w:val="17"/>
          <w:szCs w:val="17"/>
          <w:b w:val="1"/>
          <w:bCs w:val="1"/>
          <w:color w:val="auto"/>
        </w:rPr>
      </w:pPr>
      <w:r>
        <w:rPr>
          <w:rFonts w:ascii="Arial" w:cs="Arial" w:eastAsia="Arial" w:hAnsi="Arial"/>
          <w:sz w:val="17"/>
          <w:szCs w:val="17"/>
          <w:b w:val="1"/>
          <w:bCs w:val="1"/>
          <w:color w:val="auto"/>
        </w:rPr>
        <w:t>Dissolution or Liquidation</w:t>
      </w:r>
      <w:r>
        <w:rPr>
          <w:rFonts w:ascii="Arial" w:cs="Arial" w:eastAsia="Arial" w:hAnsi="Arial"/>
          <w:sz w:val="17"/>
          <w:szCs w:val="17"/>
          <w:color w:val="auto"/>
        </w:rPr>
        <w:t>. Except as otherwise provided in the Stock Award Agreement, in the event of a dissolution or liquidation of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Company, all outstanding Stock Awards (other than Stock Awards consisting of vested and outstanding shares of Common Stock not subject to a forfeiture condition or the Company’s right of repurchase) will terminate immediately prior to the completion of such dissolution or liquidation, and the shares of Common Stock subject to the Company’s repurchase rights or subject to a forfeiture condition may be repurchased or reacquired by the Company notwithstanding the fact that the holder of such Stock Award is providing Continuous Service; </w:t>
      </w:r>
      <w:r>
        <w:rPr>
          <w:rFonts w:ascii="Arial" w:cs="Arial" w:eastAsia="Arial" w:hAnsi="Arial"/>
          <w:sz w:val="17"/>
          <w:szCs w:val="17"/>
          <w:i w:val="1"/>
          <w:iCs w:val="1"/>
          <w:color w:val="auto"/>
        </w:rPr>
        <w:t>provided, however</w:t>
      </w:r>
      <w:r>
        <w:rPr>
          <w:rFonts w:ascii="Arial" w:cs="Arial" w:eastAsia="Arial" w:hAnsi="Arial"/>
          <w:sz w:val="17"/>
          <w:szCs w:val="17"/>
          <w:color w:val="auto"/>
        </w:rPr>
        <w:t>, that the Board may, in its sole discretion, cause some or all Stock Awards to become fully vested, exercisable and/or no longer subject to repurchase or forfeiture (to the extent such Stock Awards have not previously expired or terminated) before the dissolution or liquidation is completed but contingent on its completion.</w:t>
      </w:r>
    </w:p>
    <w:p>
      <w:pPr>
        <w:spacing w:after="0" w:line="174" w:lineRule="exact"/>
        <w:rPr>
          <w:rFonts w:ascii="Arial" w:cs="Arial" w:eastAsia="Arial" w:hAnsi="Arial"/>
          <w:sz w:val="17"/>
          <w:szCs w:val="17"/>
          <w:b w:val="1"/>
          <w:bCs w:val="1"/>
          <w:color w:val="auto"/>
        </w:rPr>
      </w:pPr>
    </w:p>
    <w:p>
      <w:pPr>
        <w:jc w:val="both"/>
        <w:ind w:firstLine="652"/>
        <w:spacing w:after="0" w:line="256" w:lineRule="auto"/>
        <w:tabs>
          <w:tab w:leader="none" w:pos="1109" w:val="left"/>
        </w:tabs>
        <w:numPr>
          <w:ilvl w:val="1"/>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Corporate Transaction. </w:t>
      </w:r>
      <w:r>
        <w:rPr>
          <w:rFonts w:ascii="Arial" w:cs="Arial" w:eastAsia="Arial" w:hAnsi="Arial"/>
          <w:sz w:val="18"/>
          <w:szCs w:val="18"/>
          <w:color w:val="auto"/>
        </w:rPr>
        <w:t>The following provisions will apply to Stock Awards in the event of a Corporate Transaction unless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provided in the instrument evidencing the Stock Award or any other written agreement between the Company or any Affiliate and the Participant or unless otherwise expressly provided by the Board at the time of grant of a Stock Award. In the event of a Corporate Transaction, then, notwithstanding any other provision of the Plan, the Board will take one or more of the following actions with respect to Stock Awards, contingent upon the closing or completion of the Corporate Transaction:</w:t>
      </w:r>
    </w:p>
    <w:p>
      <w:pPr>
        <w:spacing w:after="0" w:line="189" w:lineRule="exact"/>
        <w:rPr>
          <w:rFonts w:ascii="Arial" w:cs="Arial" w:eastAsia="Arial" w:hAnsi="Arial"/>
          <w:sz w:val="18"/>
          <w:szCs w:val="18"/>
          <w:b w:val="1"/>
          <w:bCs w:val="1"/>
          <w:color w:val="auto"/>
        </w:rPr>
      </w:pPr>
    </w:p>
    <w:p>
      <w:pPr>
        <w:jc w:val="both"/>
        <w:ind w:firstLine="1297"/>
        <w:spacing w:after="0" w:line="262" w:lineRule="auto"/>
        <w:tabs>
          <w:tab w:leader="none" w:pos="1638" w:val="left"/>
        </w:tabs>
        <w:numPr>
          <w:ilvl w:val="2"/>
          <w:numId w:val="96"/>
        </w:numPr>
        <w:rPr>
          <w:rFonts w:ascii="Arial" w:cs="Arial" w:eastAsia="Arial" w:hAnsi="Arial"/>
          <w:sz w:val="18"/>
          <w:szCs w:val="18"/>
          <w:b w:val="1"/>
          <w:bCs w:val="1"/>
          <w:color w:val="auto"/>
        </w:rPr>
      </w:pPr>
      <w:r>
        <w:rPr>
          <w:rFonts w:ascii="Arial" w:cs="Arial" w:eastAsia="Arial" w:hAnsi="Arial"/>
          <w:sz w:val="18"/>
          <w:szCs w:val="18"/>
          <w:color w:val="auto"/>
        </w:rPr>
        <w:t>arrange for the surviving corporation or acquiring corporation (or the surviving or acquiring corporation’s parent company) to assume or continue the Stock Award or to substitute a similar stock award for the Stock Award (including, but not limited to, an award to acquire the same consideration paid to the stockholders of the Company pursuant to the Corporate Transaction);</w:t>
      </w:r>
    </w:p>
    <w:p>
      <w:pPr>
        <w:spacing w:after="0" w:line="182" w:lineRule="exact"/>
        <w:rPr>
          <w:rFonts w:ascii="Arial" w:cs="Arial" w:eastAsia="Arial" w:hAnsi="Arial"/>
          <w:sz w:val="18"/>
          <w:szCs w:val="18"/>
          <w:b w:val="1"/>
          <w:bCs w:val="1"/>
          <w:color w:val="auto"/>
        </w:rPr>
      </w:pPr>
    </w:p>
    <w:p>
      <w:pPr>
        <w:ind w:firstLine="1297"/>
        <w:spacing w:after="0" w:line="305" w:lineRule="auto"/>
        <w:tabs>
          <w:tab w:leader="none" w:pos="1781" w:val="left"/>
        </w:tabs>
        <w:numPr>
          <w:ilvl w:val="2"/>
          <w:numId w:val="96"/>
        </w:numPr>
        <w:rPr>
          <w:rFonts w:ascii="Arial" w:cs="Arial" w:eastAsia="Arial" w:hAnsi="Arial"/>
          <w:sz w:val="17"/>
          <w:szCs w:val="17"/>
          <w:b w:val="1"/>
          <w:bCs w:val="1"/>
          <w:color w:val="auto"/>
        </w:rPr>
      </w:pPr>
      <w:r>
        <w:rPr>
          <w:rFonts w:ascii="Arial" w:cs="Arial" w:eastAsia="Arial" w:hAnsi="Arial"/>
          <w:sz w:val="17"/>
          <w:szCs w:val="17"/>
          <w:color w:val="auto"/>
        </w:rPr>
        <w:t>arrange for the assignment of any reacquisition or repurchase rights held by the Company in respect of Common Stock issued pursuant to the Stock Award to the surviving corporation or acquiring corporation (or the surviving or acquiring corporation’s parent company);</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1" w:name="page132"/>
    <w:bookmarkEnd w:id="131"/>
    <w:p>
      <w:pPr>
        <w:jc w:val="both"/>
        <w:ind w:right="20" w:firstLine="1297"/>
        <w:spacing w:after="0" w:line="258" w:lineRule="auto"/>
        <w:tabs>
          <w:tab w:leader="none" w:pos="1825"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accelerate the vesting, in whole or in part, of the Stock Award (and, if applicable, the time at which the Stock Award may be exercised) to a date prior to the effective time of such Corporate Transaction as the Board will determine (or, if the Board will not determine such a date, to the date that is five days prior to the effective date of the Corporate Transaction), with such Stock Award terminating if not exercised (if applicable) at or prior to the effective time of the Corporate Transaction;</w:t>
      </w:r>
    </w:p>
    <w:p>
      <w:pPr>
        <w:spacing w:after="0" w:line="184" w:lineRule="exact"/>
        <w:rPr>
          <w:rFonts w:ascii="Arial" w:cs="Arial" w:eastAsia="Arial" w:hAnsi="Arial"/>
          <w:sz w:val="18"/>
          <w:szCs w:val="18"/>
          <w:b w:val="1"/>
          <w:bCs w:val="1"/>
          <w:color w:val="auto"/>
        </w:rPr>
      </w:pPr>
    </w:p>
    <w:p>
      <w:pPr>
        <w:ind w:left="1780" w:hanging="483"/>
        <w:spacing w:after="0"/>
        <w:tabs>
          <w:tab w:leader="none" w:pos="1780" w:val="left"/>
        </w:tabs>
        <w:numPr>
          <w:ilvl w:val="0"/>
          <w:numId w:val="97"/>
        </w:numPr>
        <w:rPr>
          <w:rFonts w:ascii="Arial" w:cs="Arial" w:eastAsia="Arial" w:hAnsi="Arial"/>
          <w:sz w:val="16"/>
          <w:szCs w:val="16"/>
          <w:b w:val="1"/>
          <w:bCs w:val="1"/>
          <w:color w:val="auto"/>
        </w:rPr>
      </w:pPr>
      <w:r>
        <w:rPr>
          <w:rFonts w:ascii="Arial" w:cs="Arial" w:eastAsia="Arial" w:hAnsi="Arial"/>
          <w:sz w:val="16"/>
          <w:szCs w:val="16"/>
          <w:color w:val="auto"/>
        </w:rPr>
        <w:t>arrange for the lapse, in whole or in part, of any reacquisition or repurchase rights held by the Company with respect to the Stock</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Award;</w:t>
      </w:r>
    </w:p>
    <w:p>
      <w:pPr>
        <w:spacing w:after="0" w:line="208" w:lineRule="exact"/>
        <w:rPr>
          <w:rFonts w:ascii="Arial" w:cs="Arial" w:eastAsia="Arial" w:hAnsi="Arial"/>
          <w:sz w:val="16"/>
          <w:szCs w:val="16"/>
          <w:b w:val="1"/>
          <w:bCs w:val="1"/>
          <w:color w:val="auto"/>
        </w:rPr>
      </w:pPr>
    </w:p>
    <w:p>
      <w:pPr>
        <w:ind w:firstLine="1297"/>
        <w:spacing w:after="0" w:line="305" w:lineRule="auto"/>
        <w:tabs>
          <w:tab w:leader="none" w:pos="1707" w:val="left"/>
        </w:tabs>
        <w:numPr>
          <w:ilvl w:val="0"/>
          <w:numId w:val="97"/>
        </w:numPr>
        <w:rPr>
          <w:rFonts w:ascii="Arial" w:cs="Arial" w:eastAsia="Arial" w:hAnsi="Arial"/>
          <w:sz w:val="17"/>
          <w:szCs w:val="17"/>
          <w:b w:val="1"/>
          <w:bCs w:val="1"/>
          <w:color w:val="auto"/>
        </w:rPr>
      </w:pPr>
      <w:r>
        <w:rPr>
          <w:rFonts w:ascii="Arial" w:cs="Arial" w:eastAsia="Arial" w:hAnsi="Arial"/>
          <w:sz w:val="17"/>
          <w:szCs w:val="17"/>
          <w:color w:val="auto"/>
        </w:rPr>
        <w:t>cancel or arrange for the cancellation of the Stock Award, to the extent not vested or not exercised prior to the effective time of the Corporate Transaction, in exchange for such cash consideration, if any, as the Board, in its sole discretion, may consider appropriate; and</w:t>
      </w:r>
    </w:p>
    <w:p>
      <w:pPr>
        <w:spacing w:after="0" w:line="148" w:lineRule="exact"/>
        <w:rPr>
          <w:rFonts w:ascii="Arial" w:cs="Arial" w:eastAsia="Arial" w:hAnsi="Arial"/>
          <w:sz w:val="17"/>
          <w:szCs w:val="17"/>
          <w:b w:val="1"/>
          <w:bCs w:val="1"/>
          <w:color w:val="auto"/>
        </w:rPr>
      </w:pPr>
    </w:p>
    <w:p>
      <w:pPr>
        <w:jc w:val="both"/>
        <w:ind w:firstLine="1297"/>
        <w:spacing w:after="0" w:line="262" w:lineRule="auto"/>
        <w:tabs>
          <w:tab w:leader="none" w:pos="1763" w:val="left"/>
        </w:tabs>
        <w:numPr>
          <w:ilvl w:val="0"/>
          <w:numId w:val="97"/>
        </w:numPr>
        <w:rPr>
          <w:rFonts w:ascii="Arial" w:cs="Arial" w:eastAsia="Arial" w:hAnsi="Arial"/>
          <w:sz w:val="18"/>
          <w:szCs w:val="18"/>
          <w:b w:val="1"/>
          <w:bCs w:val="1"/>
          <w:color w:val="auto"/>
        </w:rPr>
      </w:pPr>
      <w:r>
        <w:rPr>
          <w:rFonts w:ascii="Arial" w:cs="Arial" w:eastAsia="Arial" w:hAnsi="Arial"/>
          <w:sz w:val="18"/>
          <w:szCs w:val="18"/>
          <w:color w:val="auto"/>
        </w:rPr>
        <w:t>make a payment, in such form as may be determined by the Board equal to the excess, if any, of (A) the value of the property the Participant would have received upon the exercise of the Stock Award immediately prior to the effective time of the Corporate Transaction, over (B) any exercise price payable by such holder in connection with such exercise.</w:t>
      </w:r>
    </w:p>
    <w:p>
      <w:pPr>
        <w:spacing w:after="0" w:line="182"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Board need not take the same action or actions with respect to all Stock Awards or portions thereof or with respect to all Participants. The Board may take different actions with respect to the vested and unvested portions of a Stock Award.</w:t>
      </w:r>
    </w:p>
    <w:p>
      <w:pPr>
        <w:spacing w:after="0" w:line="167" w:lineRule="exact"/>
        <w:rPr>
          <w:sz w:val="20"/>
          <w:szCs w:val="20"/>
          <w:color w:val="auto"/>
        </w:rPr>
      </w:pPr>
    </w:p>
    <w:p>
      <w:pPr>
        <w:jc w:val="both"/>
        <w:ind w:firstLine="652"/>
        <w:spacing w:after="0" w:line="264" w:lineRule="auto"/>
        <w:tabs>
          <w:tab w:leader="none" w:pos="1052" w:val="left"/>
        </w:tabs>
        <w:numPr>
          <w:ilvl w:val="1"/>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A Stock Award may be subject to additional acceleration of vesting and exercisability upon or after a Change in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as may be provided in the Stock Award Agreement for such Stock Award or as may be provided in any other written agreement between the Company or any Affiliate and the Participant, but in the absence of such provision, no such acceleration will occur.</w:t>
      </w:r>
    </w:p>
    <w:p>
      <w:pPr>
        <w:spacing w:after="0" w:line="176" w:lineRule="exact"/>
        <w:rPr>
          <w:rFonts w:ascii="Arial" w:cs="Arial" w:eastAsia="Arial" w:hAnsi="Arial"/>
          <w:sz w:val="18"/>
          <w:szCs w:val="18"/>
          <w:b w:val="1"/>
          <w:bCs w:val="1"/>
          <w:color w:val="auto"/>
        </w:rPr>
      </w:pPr>
    </w:p>
    <w:p>
      <w:pPr>
        <w:ind w:left="420" w:hanging="413"/>
        <w:spacing w:after="0"/>
        <w:tabs>
          <w:tab w:leader="none" w:pos="42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 Earlier Termination or Suspension of the Plan.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Board may suspend or terminate the Plan at any time. No Incentive Stock Options may be granted after the tenth anniversary of the earlier of</w:t>
      </w:r>
    </w:p>
    <w:p>
      <w:pPr>
        <w:spacing w:after="0" w:line="46" w:lineRule="exact"/>
        <w:rPr>
          <w:sz w:val="20"/>
          <w:szCs w:val="20"/>
          <w:color w:val="auto"/>
        </w:rPr>
      </w:pPr>
    </w:p>
    <w:p>
      <w:pPr>
        <w:ind w:firstLine="7"/>
        <w:spacing w:after="0" w:line="258" w:lineRule="auto"/>
        <w:tabs>
          <w:tab w:leader="none" w:pos="218"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date the Plan is adopted by the Board or (ii) the date the Plan is approved by the stockholders of the Company. No Awards may be granted under the Plan while the Plan is suspended or after it is terminated.</w:t>
      </w:r>
    </w:p>
    <w:p>
      <w:pPr>
        <w:spacing w:after="0" w:line="181" w:lineRule="exact"/>
        <w:rPr>
          <w:sz w:val="20"/>
          <w:szCs w:val="20"/>
          <w:color w:val="auto"/>
        </w:rPr>
      </w:pPr>
    </w:p>
    <w:p>
      <w:pPr>
        <w:ind w:left="400" w:hanging="393"/>
        <w:spacing w:after="0"/>
        <w:tabs>
          <w:tab w:leader="none" w:pos="40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the Plan.</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 will become effective on the Effective Date.</w:t>
      </w:r>
    </w:p>
    <w:p>
      <w:pPr>
        <w:spacing w:after="0" w:line="21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5"/>
          <w:szCs w:val="15"/>
          <w:b w:val="1"/>
          <w:bCs w:val="1"/>
          <w:color w:val="auto"/>
        </w:rPr>
        <w:t>Choice of Law.</w:t>
      </w:r>
    </w:p>
    <w:p>
      <w:pPr>
        <w:spacing w:after="0" w:line="227" w:lineRule="exact"/>
        <w:rPr>
          <w:sz w:val="20"/>
          <w:szCs w:val="20"/>
          <w:color w:val="auto"/>
        </w:rPr>
      </w:pPr>
    </w:p>
    <w:p>
      <w:pPr>
        <w:ind w:firstLine="645"/>
        <w:spacing w:after="0" w:line="275" w:lineRule="auto"/>
        <w:rPr>
          <w:sz w:val="20"/>
          <w:szCs w:val="20"/>
          <w:color w:val="auto"/>
        </w:rPr>
      </w:pPr>
      <w:r>
        <w:rPr>
          <w:rFonts w:ascii="Arial" w:cs="Arial" w:eastAsia="Arial" w:hAnsi="Arial"/>
          <w:sz w:val="18"/>
          <w:szCs w:val="18"/>
          <w:color w:val="auto"/>
        </w:rPr>
        <w:t>The law of the State of Delaware will govern all questions concerning the construction, validity and interpretation of the Plan, without regard to that state’s conflict of laws rules.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2" w:name="page133"/>
    <w:bookmarkEnd w:id="132"/>
    <w:p>
      <w:pPr>
        <w:ind w:left="420" w:hanging="413"/>
        <w:spacing w:after="0"/>
        <w:tabs>
          <w:tab w:leader="none" w:pos="420"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Definitions. </w:t>
      </w:r>
      <w:r>
        <w:rPr>
          <w:rFonts w:ascii="Arial" w:cs="Arial" w:eastAsia="Arial" w:hAnsi="Arial"/>
          <w:sz w:val="18"/>
          <w:szCs w:val="18"/>
          <w:color w:val="auto"/>
        </w:rPr>
        <w:t>As used in the Plan, the following definitions will apply to the capitalized terms indicated below:</w:t>
      </w:r>
    </w:p>
    <w:p>
      <w:pPr>
        <w:spacing w:after="0" w:line="22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2014 Plan</w:t>
      </w:r>
      <w:r>
        <w:rPr>
          <w:rFonts w:ascii="Arial" w:cs="Arial" w:eastAsia="Arial" w:hAnsi="Arial"/>
          <w:sz w:val="16"/>
          <w:szCs w:val="16"/>
          <w:color w:val="auto"/>
        </w:rPr>
        <w:t>” means the KemPharm, Inc. 2014 Equity Incentive Plan, as in effect prior to its amendment and restatement.</w:t>
      </w:r>
    </w:p>
    <w:p>
      <w:pPr>
        <w:spacing w:after="0" w:line="223"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(b)</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means, at the time of determination, any “parent” or “subsidiary” of the Company as such terms are defined in Rule 405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Act. The Board will have the authority to determine the time or times at which “parent” or “subsidiary” status is determined within the foregoing definition.</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Award</w:t>
      </w:r>
      <w:r>
        <w:rPr>
          <w:rFonts w:ascii="Arial" w:cs="Arial" w:eastAsia="Arial" w:hAnsi="Arial"/>
          <w:sz w:val="16"/>
          <w:szCs w:val="16"/>
          <w:color w:val="auto"/>
        </w:rPr>
        <w:t>” means a Stock Award or a Performance Cash Award.</w:t>
      </w:r>
    </w:p>
    <w:p>
      <w:pPr>
        <w:spacing w:after="0" w:line="223" w:lineRule="exact"/>
        <w:rPr>
          <w:sz w:val="20"/>
          <w:szCs w:val="20"/>
          <w:color w:val="auto"/>
        </w:rPr>
      </w:pPr>
    </w:p>
    <w:p>
      <w:pPr>
        <w:jc w:val="both"/>
        <w:ind w:right="20" w:firstLine="645"/>
        <w:spacing w:after="0" w:line="280" w:lineRule="auto"/>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means a written or electronic agreement between the Company and a Participant evidencing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an Award.</w:t>
      </w:r>
    </w:p>
    <w:p>
      <w:pPr>
        <w:spacing w:after="0" w:line="162"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(e)</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(f)</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Capital Stock</w:t>
      </w:r>
      <w:r>
        <w:rPr>
          <w:rFonts w:ascii="Arial" w:cs="Arial" w:eastAsia="Arial" w:hAnsi="Arial"/>
          <w:sz w:val="15"/>
          <w:szCs w:val="15"/>
          <w:color w:val="auto"/>
        </w:rPr>
        <w:t>” means each and every class of common stock of the Company, regardless of the number of votes per share.</w:t>
      </w:r>
    </w:p>
    <w:p>
      <w:pPr>
        <w:spacing w:after="0" w:line="227" w:lineRule="exact"/>
        <w:rPr>
          <w:sz w:val="20"/>
          <w:szCs w:val="20"/>
          <w:color w:val="auto"/>
        </w:rPr>
      </w:pPr>
    </w:p>
    <w:p>
      <w:pPr>
        <w:jc w:val="both"/>
        <w:ind w:firstLine="652"/>
        <w:spacing w:after="0" w:line="292" w:lineRule="auto"/>
        <w:tabs>
          <w:tab w:leader="none" w:pos="1091" w:val="left"/>
        </w:tabs>
        <w:numPr>
          <w:ilvl w:val="0"/>
          <w:numId w:val="103"/>
        </w:numPr>
        <w:rPr>
          <w:rFonts w:ascii="Arial" w:cs="Arial" w:eastAsia="Arial" w:hAnsi="Arial"/>
          <w:sz w:val="16"/>
          <w:szCs w:val="16"/>
          <w:b w:val="1"/>
          <w:bCs w:val="1"/>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 Plan or subject to any Stock Award after the Effective Date without the receipt of consideration by the Company through merger, consolidation, reorganization, recapitalization, reincorporation, stock dividend, dividend in property other than cash, large nonrecurring cash dividend, stock split, reverse stock split, liquidating dividend, combination of shares, exchange of shares, change in corporate structure or any similar equity restructuring transaction, as that term is used in Statement of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58" w:lineRule="exact"/>
        <w:rPr>
          <w:sz w:val="20"/>
          <w:szCs w:val="20"/>
          <w:color w:val="auto"/>
        </w:rPr>
      </w:pPr>
    </w:p>
    <w:p>
      <w:pPr>
        <w:jc w:val="both"/>
        <w:ind w:firstLine="645"/>
        <w:spacing w:after="0" w:line="269" w:lineRule="auto"/>
        <w:rPr>
          <w:sz w:val="20"/>
          <w:szCs w:val="20"/>
          <w:color w:val="auto"/>
        </w:rPr>
      </w:pPr>
      <w:r>
        <w:rPr>
          <w:rFonts w:ascii="Arial" w:cs="Arial" w:eastAsia="Arial" w:hAnsi="Arial"/>
          <w:sz w:val="17"/>
          <w:szCs w:val="17"/>
          <w:b w:val="1"/>
          <w:bCs w:val="1"/>
          <w:color w:val="auto"/>
        </w:rPr>
        <w:t>(h)</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will have the meaning ascribed to such term in any written agreement between the Participant and the Company defining such term</w:t>
      </w:r>
      <w:r>
        <w:rPr>
          <w:rFonts w:ascii="Arial" w:cs="Arial" w:eastAsia="Arial" w:hAnsi="Arial"/>
          <w:sz w:val="17"/>
          <w:szCs w:val="17"/>
          <w:b w:val="1"/>
          <w:bCs w:val="1"/>
          <w:color w:val="auto"/>
        </w:rPr>
        <w:t xml:space="preserve"> </w:t>
      </w:r>
      <w:r>
        <w:rPr>
          <w:rFonts w:ascii="Arial" w:cs="Arial" w:eastAsia="Arial" w:hAnsi="Arial"/>
          <w:sz w:val="17"/>
          <w:szCs w:val="17"/>
          <w:color w:val="auto"/>
        </w:rPr>
        <w:t>and, in the absence of such agreement, such term shall mean, with respect to a Participant, the occurrence of any of the following events that has a material negative impact on the business or reputation of the Company: (i) such Participant’s attempted commission of, or participation in, a fraud or act of dishonesty against the Company; (ii) such Participant’s intentional, material violation of any contract or agreement between the Participant and the Company or of any statutory duty owed to the Company; (iii) such Participant’s unauthorized use or disclosure of the Company’s confidential information or trade secrets; or (iv) such Participant’s gross misconduct. The determination that a termination of the Participant’s Continuous Service is either for Cause or without Cause shall be made by the Company, in its sole discretion. Any determination by the Company that the Continuous Service of a Participant was terminated with or without Cause for the purposes of outstanding Awards held by such Participant shall have no effect upon any determination of the rights or obligations of the Company or such Participant for any other purpose.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3" w:name="page134"/>
    <w:bookmarkEnd w:id="133"/>
    <w:p>
      <w:pPr>
        <w:ind w:left="660"/>
        <w:spacing w:after="0"/>
        <w:tabs>
          <w:tab w:leader="none" w:pos="108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Change in Control</w:t>
      </w:r>
      <w:r>
        <w:rPr>
          <w:rFonts w:ascii="Arial" w:cs="Arial" w:eastAsia="Arial" w:hAnsi="Arial"/>
          <w:sz w:val="16"/>
          <w:szCs w:val="16"/>
          <w:color w:val="auto"/>
        </w:rPr>
        <w:t>” means the occurrence, in a single transaction or in a series of related transactions, of any one or more of the following</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events:</w:t>
      </w:r>
    </w:p>
    <w:p>
      <w:pPr>
        <w:spacing w:after="0" w:line="208" w:lineRule="exact"/>
        <w:rPr>
          <w:sz w:val="20"/>
          <w:szCs w:val="20"/>
          <w:color w:val="auto"/>
        </w:rPr>
      </w:pPr>
    </w:p>
    <w:p>
      <w:pPr>
        <w:jc w:val="both"/>
        <w:ind w:firstLine="1297"/>
        <w:spacing w:after="0" w:line="286" w:lineRule="auto"/>
        <w:tabs>
          <w:tab w:leader="none" w:pos="1647" w:val="left"/>
        </w:tabs>
        <w:numPr>
          <w:ilvl w:val="1"/>
          <w:numId w:val="104"/>
        </w:numPr>
        <w:rPr>
          <w:rFonts w:ascii="Arial" w:cs="Arial" w:eastAsia="Arial" w:hAnsi="Arial"/>
          <w:sz w:val="16"/>
          <w:szCs w:val="16"/>
          <w:b w:val="1"/>
          <w:bCs w:val="1"/>
          <w:color w:val="auto"/>
        </w:rPr>
      </w:pPr>
      <w:r>
        <w:rPr>
          <w:rFonts w:ascii="Arial" w:cs="Arial" w:eastAsia="Arial" w:hAnsi="Arial"/>
          <w:sz w:val="16"/>
          <w:szCs w:val="16"/>
          <w:color w:val="auto"/>
        </w:rPr>
        <w:t>any Exchange Act Person becomes the Owner, directly or indirectly, of securities of the Company representing more than 50% of the combined voting power of the Company’s then outstanding securities other than by virtue of a merger, consolidation or similar transaction. Notwithstanding the foregoing, a Change in Control will not be deemed to occur (A) on account of the acquisition of securities of the Company directly from the Company,</w:t>
      </w:r>
    </w:p>
    <w:p>
      <w:pPr>
        <w:spacing w:after="0" w:line="1" w:lineRule="exact"/>
        <w:rPr>
          <w:rFonts w:ascii="Arial" w:cs="Arial" w:eastAsia="Arial" w:hAnsi="Arial"/>
          <w:sz w:val="16"/>
          <w:szCs w:val="16"/>
          <w:b w:val="1"/>
          <w:bCs w:val="1"/>
          <w:color w:val="auto"/>
        </w:rPr>
      </w:pPr>
    </w:p>
    <w:p>
      <w:pPr>
        <w:jc w:val="both"/>
        <w:ind w:firstLine="7"/>
        <w:spacing w:after="0" w:line="267" w:lineRule="auto"/>
        <w:tabs>
          <w:tab w:leader="none" w:pos="303" w:val="left"/>
        </w:tabs>
        <w:numPr>
          <w:ilvl w:val="0"/>
          <w:numId w:val="105"/>
        </w:numPr>
        <w:rPr>
          <w:rFonts w:ascii="Arial" w:cs="Arial" w:eastAsia="Arial" w:hAnsi="Arial"/>
          <w:sz w:val="17"/>
          <w:szCs w:val="17"/>
          <w:color w:val="auto"/>
        </w:rPr>
      </w:pPr>
      <w:r>
        <w:rPr>
          <w:rFonts w:ascii="Arial" w:cs="Arial" w:eastAsia="Arial" w:hAnsi="Arial"/>
          <w:sz w:val="17"/>
          <w:szCs w:val="17"/>
          <w:color w:val="auto"/>
        </w:rPr>
        <w:t>on account of the acquisition of securities of the Company by an investor, any affiliate thereof or any other Exchange Act Person that acquires the Company’s securities in a transaction or series of related transactions the primary purpose of which is to obtain financing for the Company through the issuance of equity securities, or (C) solely because the level of Ownership held by any Exchange Act Person (the “</w:t>
      </w:r>
      <w:r>
        <w:rPr>
          <w:rFonts w:ascii="Arial" w:cs="Arial" w:eastAsia="Arial" w:hAnsi="Arial"/>
          <w:sz w:val="17"/>
          <w:szCs w:val="17"/>
          <w:b w:val="1"/>
          <w:bCs w:val="1"/>
          <w:i w:val="1"/>
          <w:iCs w:val="1"/>
          <w:color w:val="auto"/>
        </w:rPr>
        <w:t>Subject Person</w:t>
      </w:r>
      <w:r>
        <w:rPr>
          <w:rFonts w:ascii="Arial" w:cs="Arial" w:eastAsia="Arial" w:hAnsi="Arial"/>
          <w:sz w:val="17"/>
          <w:szCs w:val="17"/>
          <w:color w:val="auto"/>
        </w:rPr>
        <w:t>”) exceeds the designated percentage threshold of the outstanding voting securities as a result of a repurchase or other acquisition of voting securities by the Company reducing the number of shares outstanding, provided that if a Change in Control would occur (but for the operation of this sentence) as a result of the acquisition of voting securities by the Company, and after such share acquisition, the Subject Person becomes the Owner of any additional voting securities that, assuming the repurchase or other acquisition had not occurred, increases the percentage of the then outstanding voting securities Owned by the Subject Person over the designated percentage threshold, then a Change in Control will be deemed to occur;</w:t>
      </w:r>
    </w:p>
    <w:p>
      <w:pPr>
        <w:spacing w:after="0" w:line="180" w:lineRule="exact"/>
        <w:rPr>
          <w:rFonts w:ascii="Arial" w:cs="Arial" w:eastAsia="Arial" w:hAnsi="Arial"/>
          <w:sz w:val="17"/>
          <w:szCs w:val="17"/>
          <w:color w:val="auto"/>
        </w:rPr>
      </w:pPr>
    </w:p>
    <w:p>
      <w:pPr>
        <w:jc w:val="both"/>
        <w:ind w:firstLine="1297"/>
        <w:spacing w:after="0" w:line="269" w:lineRule="auto"/>
        <w:tabs>
          <w:tab w:leader="none" w:pos="1693" w:val="left"/>
        </w:tabs>
        <w:numPr>
          <w:ilvl w:val="1"/>
          <w:numId w:val="105"/>
        </w:numPr>
        <w:rPr>
          <w:rFonts w:ascii="Arial" w:cs="Arial" w:eastAsia="Arial" w:hAnsi="Arial"/>
          <w:sz w:val="17"/>
          <w:szCs w:val="17"/>
          <w:b w:val="1"/>
          <w:bCs w:val="1"/>
          <w:color w:val="auto"/>
        </w:rPr>
      </w:pPr>
      <w:r>
        <w:rPr>
          <w:rFonts w:ascii="Arial" w:cs="Arial" w:eastAsia="Arial" w:hAnsi="Arial"/>
          <w:sz w:val="17"/>
          <w:szCs w:val="17"/>
          <w:color w:val="auto"/>
        </w:rPr>
        <w:t xml:space="preserve">there is consummated a merger, consolidation or similar transaction involving (directly or indirectly) the Company and, immediately after the consummation of such merger, consolidation or similar transaction, the stockholders of the Company immediately prior thereto do not Own, directly or indirectly, either (A) outstanding voting securities representing more than 50% of the combined outstanding voting power of the surviving Entity in such merger, consolidation or similar transaction or (B) more than 50% of the combined outstanding voting power of the parent of the surviving Entity in such merger, consolidation or similar transaction, in each case in substantially the same proportions as their Ownership of the outstanding voting securities of the Company immediately prior to such transaction; </w:t>
      </w:r>
      <w:r>
        <w:rPr>
          <w:rFonts w:ascii="Arial" w:cs="Arial" w:eastAsia="Arial" w:hAnsi="Arial"/>
          <w:sz w:val="17"/>
          <w:szCs w:val="17"/>
          <w:i w:val="1"/>
          <w:iCs w:val="1"/>
          <w:color w:val="auto"/>
        </w:rPr>
        <w:t>provided, however</w:t>
      </w:r>
      <w:r>
        <w:rPr>
          <w:rFonts w:ascii="Arial" w:cs="Arial" w:eastAsia="Arial" w:hAnsi="Arial"/>
          <w:sz w:val="17"/>
          <w:szCs w:val="17"/>
          <w:color w:val="auto"/>
        </w:rPr>
        <w:t>, that a merger, consolidation or similar transaction will not constitute a Change in Control under this prong of the definition if the outstanding voting securities representing more than 50% of the combined voting power of the surviving Entity or its parent are owned by the IPO Entities;</w:t>
      </w:r>
    </w:p>
    <w:p>
      <w:pPr>
        <w:spacing w:after="0" w:line="182" w:lineRule="exact"/>
        <w:rPr>
          <w:rFonts w:ascii="Arial" w:cs="Arial" w:eastAsia="Arial" w:hAnsi="Arial"/>
          <w:sz w:val="17"/>
          <w:szCs w:val="17"/>
          <w:b w:val="1"/>
          <w:bCs w:val="1"/>
          <w:color w:val="auto"/>
        </w:rPr>
      </w:pPr>
    </w:p>
    <w:p>
      <w:pPr>
        <w:jc w:val="both"/>
        <w:ind w:firstLine="1297"/>
        <w:spacing w:after="0" w:line="290" w:lineRule="auto"/>
        <w:tabs>
          <w:tab w:leader="none" w:pos="1766" w:val="left"/>
        </w:tabs>
        <w:numPr>
          <w:ilvl w:val="1"/>
          <w:numId w:val="105"/>
        </w:numPr>
        <w:rPr>
          <w:rFonts w:ascii="Arial" w:cs="Arial" w:eastAsia="Arial" w:hAnsi="Arial"/>
          <w:sz w:val="16"/>
          <w:szCs w:val="16"/>
          <w:b w:val="1"/>
          <w:bCs w:val="1"/>
          <w:color w:val="auto"/>
        </w:rPr>
      </w:pPr>
      <w:r>
        <w:rPr>
          <w:rFonts w:ascii="Arial" w:cs="Arial" w:eastAsia="Arial" w:hAnsi="Arial"/>
          <w:sz w:val="16"/>
          <w:szCs w:val="16"/>
          <w:color w:val="auto"/>
        </w:rPr>
        <w:t xml:space="preserve">there is consummated a sale, lease, exclusive license or other disposition of all or substantially all of the consolidated assets of the Company and its Subsidiaries, other than a sale, lease, license or other disposition of all or substantially all of the consolidated assets of the Company and its Subsidiaries to an Entity, more than 50% of the combined voting power of the voting securities of which are Owned by stockholders of the Company in substantially the same proportions as their Ownership of the outstanding voting securities of the Company immediately prior to such sale, lease, license or other disposition; </w:t>
      </w:r>
      <w:r>
        <w:rPr>
          <w:rFonts w:ascii="Arial" w:cs="Arial" w:eastAsia="Arial" w:hAnsi="Arial"/>
          <w:sz w:val="16"/>
          <w:szCs w:val="16"/>
          <w:i w:val="1"/>
          <w:iCs w:val="1"/>
          <w:color w:val="auto"/>
        </w:rPr>
        <w:t>provided, however</w:t>
      </w:r>
      <w:r>
        <w:rPr>
          <w:rFonts w:ascii="Arial" w:cs="Arial" w:eastAsia="Arial" w:hAnsi="Arial"/>
          <w:sz w:val="16"/>
          <w:szCs w:val="16"/>
          <w:color w:val="auto"/>
        </w:rPr>
        <w:t>, that a sale, lease, exclusive license or other disposition of all or substantially all of the consolidated assets of the Company and its Subsidiaries will not constitute a Change in Control under this prong of the definition if the outstanding voting securities representing more than 50% of the combined voting power of the acquiring Entity or its parent are owned by the IPO Entities; or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4" w:name="page135"/>
    <w:bookmarkEnd w:id="134"/>
    <w:p>
      <w:pPr>
        <w:jc w:val="both"/>
        <w:ind w:firstLine="1297"/>
        <w:spacing w:after="0" w:line="258" w:lineRule="auto"/>
        <w:tabs>
          <w:tab w:leader="none" w:pos="1769" w:val="left"/>
        </w:tabs>
        <w:numPr>
          <w:ilvl w:val="0"/>
          <w:numId w:val="106"/>
        </w:numPr>
        <w:rPr>
          <w:rFonts w:ascii="Arial" w:cs="Arial" w:eastAsia="Arial" w:hAnsi="Arial"/>
          <w:sz w:val="18"/>
          <w:szCs w:val="18"/>
          <w:b w:val="1"/>
          <w:bCs w:val="1"/>
          <w:color w:val="auto"/>
        </w:rPr>
      </w:pPr>
      <w:r>
        <w:rPr>
          <w:rFonts w:ascii="Arial" w:cs="Arial" w:eastAsia="Arial" w:hAnsi="Arial"/>
          <w:sz w:val="18"/>
          <w:szCs w:val="18"/>
          <w:color w:val="auto"/>
        </w:rPr>
        <w:t>individuals who, on the date the Plan is adopted by the Board, are members of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xml:space="preserve">”) cease for any reason to constitute at least a majority of the members of the Board;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the appointment or election (or nomination for election) of any new Board member was approved or recommended by a majority vote of the members of the Incumbent Board then still in office, such new member will, for purposes of this Plan, be considered as a member of the Incumbent Board.</w:t>
      </w:r>
    </w:p>
    <w:p>
      <w:pPr>
        <w:spacing w:after="0" w:line="185"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color w:val="auto"/>
        </w:rPr>
        <w:t xml:space="preserve">Notwithstanding the foregoing definition or any other provision of this Plan, the term Change in Control will not include a sale of assets, merger or other transaction effected exclusively for the purpose of changing the domicile of the Company and the definition of Change in Control (or any analogous term) in an individual written agreement between the Company or any Affiliate and the Participant will supersede the foregoing definition with respect to Awards subject to such agreement; </w:t>
      </w:r>
      <w:r>
        <w:rPr>
          <w:rFonts w:ascii="Arial" w:cs="Arial" w:eastAsia="Arial" w:hAnsi="Arial"/>
          <w:sz w:val="18"/>
          <w:szCs w:val="18"/>
          <w:i w:val="1"/>
          <w:iCs w:val="1"/>
          <w:color w:val="auto"/>
        </w:rPr>
        <w:t>provided, however</w:t>
      </w:r>
      <w:r>
        <w:rPr>
          <w:rFonts w:ascii="Arial" w:cs="Arial" w:eastAsia="Arial" w:hAnsi="Arial"/>
          <w:sz w:val="18"/>
          <w:szCs w:val="18"/>
          <w:color w:val="auto"/>
        </w:rPr>
        <w:t>, that if no definition of Change in Control or any analogous term is set forth in such an individual written agreement, the foregoing definition will apply.</w:t>
      </w:r>
    </w:p>
    <w:p>
      <w:pPr>
        <w:spacing w:after="0" w:line="186"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Code</w:t>
      </w:r>
      <w:r>
        <w:rPr>
          <w:rFonts w:ascii="Arial" w:cs="Arial" w:eastAsia="Arial" w:hAnsi="Arial"/>
          <w:sz w:val="16"/>
          <w:szCs w:val="16"/>
          <w:color w:val="auto"/>
        </w:rPr>
        <w:t>” means the Internal Revenue Code of 1986, as amended, including any applicable regulations and guidance thereunder.</w:t>
      </w:r>
    </w:p>
    <w:p>
      <w:pPr>
        <w:spacing w:after="0" w:line="2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Committee</w:t>
      </w:r>
      <w:r>
        <w:rPr>
          <w:rFonts w:ascii="Arial" w:cs="Arial" w:eastAsia="Arial" w:hAnsi="Arial"/>
          <w:sz w:val="16"/>
          <w:szCs w:val="16"/>
          <w:color w:val="auto"/>
        </w:rPr>
        <w:t>” means a committee of one or more Directors to whom authority has been delegated by the Board in accordance with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2(c).</w:t>
      </w:r>
    </w:p>
    <w:p>
      <w:pPr>
        <w:spacing w:after="0" w:line="204"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as of the Effective Date, the common stock of the Company.</w:t>
      </w:r>
    </w:p>
    <w:p>
      <w:pPr>
        <w:spacing w:after="0" w:line="223" w:lineRule="exact"/>
        <w:rPr>
          <w:sz w:val="20"/>
          <w:szCs w:val="20"/>
          <w:color w:val="auto"/>
        </w:rPr>
      </w:pPr>
    </w:p>
    <w:p>
      <w:pPr>
        <w:ind w:left="660"/>
        <w:spacing w:after="0"/>
        <w:tabs>
          <w:tab w:leader="none" w:pos="1160" w:val="left"/>
        </w:tabs>
        <w:rPr>
          <w:sz w:val="20"/>
          <w:szCs w:val="20"/>
          <w:color w:val="auto"/>
        </w:rPr>
      </w:pPr>
      <w:r>
        <w:rPr>
          <w:rFonts w:ascii="Arial" w:cs="Arial" w:eastAsia="Arial" w:hAnsi="Arial"/>
          <w:sz w:val="18"/>
          <w:szCs w:val="18"/>
          <w:b w:val="1"/>
          <w:bCs w:val="1"/>
          <w:color w:val="auto"/>
        </w:rPr>
        <w:t>(m)</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KemPharm, Inc., a Delaware corporation.</w:t>
      </w:r>
    </w:p>
    <w:p>
      <w:pPr>
        <w:spacing w:after="0" w:line="223" w:lineRule="exact"/>
        <w:rPr>
          <w:sz w:val="20"/>
          <w:szCs w:val="20"/>
          <w:color w:val="auto"/>
        </w:rPr>
      </w:pPr>
    </w:p>
    <w:p>
      <w:pPr>
        <w:jc w:val="both"/>
        <w:ind w:firstLine="645"/>
        <w:spacing w:after="0" w:line="275" w:lineRule="auto"/>
        <w:rPr>
          <w:sz w:val="20"/>
          <w:szCs w:val="20"/>
          <w:color w:val="auto"/>
        </w:rPr>
      </w:pPr>
      <w:r>
        <w:rPr>
          <w:rFonts w:ascii="Arial" w:cs="Arial" w:eastAsia="Arial" w:hAnsi="Arial"/>
          <w:sz w:val="17"/>
          <w:szCs w:val="17"/>
          <w:b w:val="1"/>
          <w:bCs w:val="1"/>
          <w:color w:val="auto"/>
        </w:rPr>
        <w:t>(n)</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Consultant</w:t>
      </w:r>
      <w:r>
        <w:rPr>
          <w:rFonts w:ascii="Arial" w:cs="Arial" w:eastAsia="Arial" w:hAnsi="Arial"/>
          <w:sz w:val="17"/>
          <w:szCs w:val="17"/>
          <w:color w:val="auto"/>
        </w:rPr>
        <w:t>” means any person, including an advisor, who is (i) engaged by the Company or an Affiliate to render consulting or advisory</w:t>
      </w:r>
      <w:r>
        <w:rPr>
          <w:rFonts w:ascii="Arial" w:cs="Arial" w:eastAsia="Arial" w:hAnsi="Arial"/>
          <w:sz w:val="17"/>
          <w:szCs w:val="17"/>
          <w:b w:val="1"/>
          <w:bCs w:val="1"/>
          <w:color w:val="auto"/>
        </w:rPr>
        <w:t xml:space="preserve"> </w:t>
      </w:r>
      <w:r>
        <w:rPr>
          <w:rFonts w:ascii="Arial" w:cs="Arial" w:eastAsia="Arial" w:hAnsi="Arial"/>
          <w:sz w:val="17"/>
          <w:szCs w:val="17"/>
          <w:color w:val="auto"/>
        </w:rPr>
        <w:t>services and is compensated for such services, or (ii) serving as a member of the board of directors of an Affiliate and is compensated for such services. However, service solely as a Director, or payment of a fee for such service, will not cause a Director to be considered a “Consultant” for purposes of the Plan. Notwithstanding the foregoing, a person is treated as a Consultant under this Plan only if a Form S-8 Registration Statement under the Securities Act is available to register either the offer or the sale of the Company’s securities to such person.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35" w:name="page136"/>
    <w:bookmarkEnd w:id="135"/>
    <w:p>
      <w:pPr>
        <w:jc w:val="both"/>
        <w:ind w:firstLine="645"/>
        <w:spacing w:after="0" w:line="268" w:lineRule="auto"/>
        <w:rPr>
          <w:sz w:val="20"/>
          <w:szCs w:val="20"/>
          <w:color w:val="auto"/>
        </w:rPr>
      </w:pPr>
      <w:r>
        <w:rPr>
          <w:rFonts w:ascii="Arial" w:cs="Arial" w:eastAsia="Arial" w:hAnsi="Arial"/>
          <w:sz w:val="17"/>
          <w:szCs w:val="17"/>
          <w:b w:val="1"/>
          <w:bCs w:val="1"/>
          <w:color w:val="auto"/>
        </w:rPr>
        <w:t>(o)</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Continuous Service</w:t>
      </w:r>
      <w:r>
        <w:rPr>
          <w:rFonts w:ascii="Arial" w:cs="Arial" w:eastAsia="Arial" w:hAnsi="Arial"/>
          <w:sz w:val="17"/>
          <w:szCs w:val="17"/>
          <w:color w:val="auto"/>
        </w:rPr>
        <w:t>” means that the Participant’s service with the Company or an Affiliate, whether as an Employee, Director or Consultant,</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is not interrupted or terminated. A change in the capacity in which the Participant renders service to the Company or an Affiliate as an Employee, Consultant or Director or a change in the entity for which the Participant renders such service, provided that there is no interruption or termination of the Participant’s service with the Company or an Affiliate, will not terminate a Participant’s Continuous Service ; </w:t>
      </w:r>
      <w:r>
        <w:rPr>
          <w:rFonts w:ascii="Arial" w:cs="Arial" w:eastAsia="Arial" w:hAnsi="Arial"/>
          <w:sz w:val="17"/>
          <w:szCs w:val="17"/>
          <w:i w:val="1"/>
          <w:iCs w:val="1"/>
          <w:color w:val="auto"/>
        </w:rPr>
        <w:t>provided, however</w:t>
      </w:r>
      <w:r>
        <w:rPr>
          <w:rFonts w:ascii="Arial" w:cs="Arial" w:eastAsia="Arial" w:hAnsi="Arial"/>
          <w:sz w:val="17"/>
          <w:szCs w:val="17"/>
          <w:color w:val="auto"/>
        </w:rPr>
        <w:t>, that if the Entity for which a Participant is rendering services ceases to qualify as an Affiliate, as determined by the Board, in its sole discretion, such Participant’s Continuous Service will be considered to have terminated on the date such Entity ceases to qualify as an Affiliate. To the extent permitted by law, the Board or the chief executive officer of the Company, in that party’s sole discretion, may determine whether Continuous Service will be considered interrupted in the case of (i) any leave of absence approved by the Board or chief executive officer, including sick leave, military leave or any other personal leave, or (ii) transfers between the Company, an Affiliate, or their successors. Notwithstanding the foregoing, a leave of absence will be treated as Continuous Service for purposes of vesting in an Award only to such extent as may be provided in the Company’s leave of absence policy, in the written terms of any leave of absence agreement or policy applicable to the Participant, or as otherwise required by law.</w:t>
      </w:r>
    </w:p>
    <w:p>
      <w:pPr>
        <w:spacing w:after="0" w:line="179"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66" w:lineRule="exact"/>
        <w:rPr>
          <w:sz w:val="20"/>
          <w:szCs w:val="20"/>
          <w:color w:val="auto"/>
        </w:rPr>
      </w:pPr>
    </w:p>
    <w:p>
      <w:pPr>
        <w:ind w:right="20" w:firstLine="1297"/>
        <w:spacing w:after="0" w:line="275" w:lineRule="auto"/>
        <w:tabs>
          <w:tab w:leader="none" w:pos="1638"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700" w:hanging="403"/>
        <w:spacing w:after="0"/>
        <w:tabs>
          <w:tab w:leader="none" w:pos="170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at least 50% of the outstanding securities of the Company;</w:t>
      </w:r>
    </w:p>
    <w:p>
      <w:pPr>
        <w:spacing w:after="0" w:line="222" w:lineRule="exact"/>
        <w:rPr>
          <w:rFonts w:ascii="Arial" w:cs="Arial" w:eastAsia="Arial" w:hAnsi="Arial"/>
          <w:sz w:val="18"/>
          <w:szCs w:val="18"/>
          <w:b w:val="1"/>
          <w:bCs w:val="1"/>
          <w:color w:val="auto"/>
        </w:rPr>
      </w:pPr>
    </w:p>
    <w:p>
      <w:pPr>
        <w:ind w:left="1740" w:hanging="443"/>
        <w:spacing w:after="0"/>
        <w:tabs>
          <w:tab w:leader="none" w:pos="1740"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2" w:lineRule="exact"/>
        <w:rPr>
          <w:rFonts w:ascii="Arial" w:cs="Arial" w:eastAsia="Arial" w:hAnsi="Arial"/>
          <w:sz w:val="18"/>
          <w:szCs w:val="18"/>
          <w:b w:val="1"/>
          <w:bCs w:val="1"/>
          <w:color w:val="auto"/>
        </w:rPr>
      </w:pPr>
    </w:p>
    <w:p>
      <w:pPr>
        <w:jc w:val="both"/>
        <w:ind w:firstLine="1297"/>
        <w:spacing w:after="0" w:line="262" w:lineRule="auto"/>
        <w:tabs>
          <w:tab w:leader="none" w:pos="1742" w:val="left"/>
        </w:tabs>
        <w:numPr>
          <w:ilvl w:val="0"/>
          <w:numId w:val="107"/>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(q)</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23" w:lineRule="exact"/>
        <w:rPr>
          <w:sz w:val="20"/>
          <w:szCs w:val="20"/>
          <w:color w:val="auto"/>
        </w:rPr>
      </w:pPr>
    </w:p>
    <w:p>
      <w:pPr>
        <w:jc w:val="both"/>
        <w:ind w:firstLine="645"/>
        <w:spacing w:after="0" w:line="259"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with respect to a Participant, the inability of such Participant to engage in any substantial gainful activity by reason of any</w:t>
      </w:r>
      <w:r>
        <w:rPr>
          <w:rFonts w:ascii="Arial" w:cs="Arial" w:eastAsia="Arial" w:hAnsi="Arial"/>
          <w:sz w:val="18"/>
          <w:szCs w:val="18"/>
          <w:b w:val="1"/>
          <w:bCs w:val="1"/>
          <w:color w:val="auto"/>
        </w:rPr>
        <w:t xml:space="preserve"> </w:t>
      </w:r>
      <w:r>
        <w:rPr>
          <w:rFonts w:ascii="Arial" w:cs="Arial" w:eastAsia="Arial" w:hAnsi="Arial"/>
          <w:sz w:val="18"/>
          <w:szCs w:val="18"/>
          <w:color w:val="auto"/>
        </w:rPr>
        <w:t>medically determinable physical or mental impairment that can be expected to result in death or that has lasted or can be expected to last for a continuous period of not less than 12 months, as provided in Sections 22(e)(3) and 409A(a)(2)(c)(i) of the Code, and will be determined by the Board on the basis of such medical evidence as the Board deems warranted under the circumstances.</w:t>
      </w:r>
    </w:p>
    <w:p>
      <w:pPr>
        <w:spacing w:after="0" w:line="181"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effective date of this Plan document which is the date of the annual meeting of stockholders of the Company held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2021.</w:t>
      </w:r>
    </w:p>
    <w:p>
      <w:pPr>
        <w:spacing w:after="0" w:line="204"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employed by the Company or an Affiliate. However, service solely as a Director, or payment of a fee for such</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will not cause a Director to be considered an “Employee” for purposes of the Plan.</w:t>
      </w:r>
    </w:p>
    <w:p>
      <w:pPr>
        <w:spacing w:after="0" w:line="16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(u)</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Entity</w:t>
      </w:r>
      <w:r>
        <w:rPr>
          <w:rFonts w:ascii="Arial" w:cs="Arial" w:eastAsia="Arial" w:hAnsi="Arial"/>
          <w:sz w:val="16"/>
          <w:szCs w:val="16"/>
          <w:color w:val="auto"/>
        </w:rPr>
        <w:t>” means a corporation, partnership, limited liability company or other entity.</w:t>
      </w:r>
    </w:p>
    <w:p>
      <w:pPr>
        <w:spacing w:after="0" w:line="223" w:lineRule="exact"/>
        <w:rPr>
          <w:sz w:val="20"/>
          <w:szCs w:val="20"/>
          <w:color w:val="auto"/>
        </w:rPr>
      </w:pPr>
    </w:p>
    <w:p>
      <w:pPr>
        <w:jc w:val="center"/>
        <w:ind w:right="300"/>
        <w:spacing w:after="0"/>
        <w:tabs>
          <w:tab w:leader="none" w:pos="160" w:val="left"/>
        </w:tabs>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Securities Exchange Act of 1934, as amended, and the rules and regulations promulgated thereunder.</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6" w:name="page137"/>
    <w:bookmarkEnd w:id="136"/>
    <w:p>
      <w:pPr>
        <w:jc w:val="both"/>
        <w:ind w:firstLine="645"/>
        <w:spacing w:after="0" w:line="291" w:lineRule="auto"/>
        <w:rPr>
          <w:sz w:val="20"/>
          <w:szCs w:val="20"/>
          <w:color w:val="auto"/>
        </w:rPr>
      </w:pPr>
      <w:r>
        <w:rPr>
          <w:rFonts w:ascii="Arial" w:cs="Arial" w:eastAsia="Arial" w:hAnsi="Arial"/>
          <w:sz w:val="16"/>
          <w:szCs w:val="16"/>
          <w:b w:val="1"/>
          <w:bCs w:val="1"/>
          <w:color w:val="auto"/>
        </w:rPr>
        <w:t>(w)</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Exchange Act Person</w:t>
      </w:r>
      <w:r>
        <w:rPr>
          <w:rFonts w:ascii="Arial" w:cs="Arial" w:eastAsia="Arial" w:hAnsi="Arial"/>
          <w:sz w:val="16"/>
          <w:szCs w:val="16"/>
          <w:color w:val="auto"/>
        </w:rPr>
        <w:t>” means any natural person, Entity or “group” (within the meaning of Section 13(d) or 14(d) of the Exchange Act),</w:t>
      </w:r>
      <w:r>
        <w:rPr>
          <w:rFonts w:ascii="Arial" w:cs="Arial" w:eastAsia="Arial" w:hAnsi="Arial"/>
          <w:sz w:val="16"/>
          <w:szCs w:val="16"/>
          <w:b w:val="1"/>
          <w:bCs w:val="1"/>
          <w:color w:val="auto"/>
        </w:rPr>
        <w:t xml:space="preserve"> </w:t>
      </w:r>
      <w:r>
        <w:rPr>
          <w:rFonts w:ascii="Arial" w:cs="Arial" w:eastAsia="Arial" w:hAnsi="Arial"/>
          <w:sz w:val="16"/>
          <w:szCs w:val="16"/>
          <w:color w:val="auto"/>
        </w:rPr>
        <w:t>except that “Exchange Act Person” will not include (i) the Company or any Subsidiary of the Company, (ii) any employee benefit plan of the Company or any Subsidiary of the Company or any trustee or other fiduciary holding securities under an employee benefit plan of the Company or any Subsidiary of the Company, (iii) an underwriter temporarily holding securities pursuant to a registered public offering of such securities, (iv) an Entity Owned, directly or indirectly, by the stockholders of the Company in substantially the same proportions as their Ownership of stock of the Company; or (v) any natural person, Entity or “group” (within the meaning of Section 13(d) or 14(d) of the Exchange Act) that, as of the Effective Date, is the Owner, directly or indirectly, of securities of the Company representing more than 50% of the combined voting power of the Company’s then outstanding securities.</w:t>
      </w:r>
    </w:p>
    <w:p>
      <w:pPr>
        <w:spacing w:after="0" w:line="158"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(x)</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the Common Stock determined as follows:</w:t>
      </w:r>
    </w:p>
    <w:p>
      <w:pPr>
        <w:spacing w:after="0" w:line="227" w:lineRule="exact"/>
        <w:rPr>
          <w:sz w:val="20"/>
          <w:szCs w:val="20"/>
          <w:color w:val="auto"/>
        </w:rPr>
      </w:pPr>
    </w:p>
    <w:p>
      <w:pPr>
        <w:jc w:val="both"/>
        <w:ind w:firstLine="1297"/>
        <w:spacing w:after="0" w:line="258" w:lineRule="auto"/>
        <w:tabs>
          <w:tab w:leader="none" w:pos="1694"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 xml:space="preserve">If the Common Stock is listed on any established stock exchange or traded on any established market, the Fair Market Value of a share of Common Stock will be, unless otherwise determined by the Board, </w:t>
      </w:r>
      <w:r>
        <w:rPr>
          <w:rFonts w:ascii="Arial" w:cs="Arial" w:eastAsia="Arial" w:hAnsi="Arial"/>
          <w:sz w:val="18"/>
          <w:szCs w:val="18"/>
          <w:b w:val="1"/>
          <w:bCs w:val="1"/>
          <w:u w:val="single" w:color="auto"/>
          <w:color w:val="auto"/>
        </w:rPr>
        <w:t>the closing sales price</w:t>
      </w:r>
      <w:r>
        <w:rPr>
          <w:rFonts w:ascii="Arial" w:cs="Arial" w:eastAsia="Arial" w:hAnsi="Arial"/>
          <w:sz w:val="18"/>
          <w:szCs w:val="18"/>
          <w:color w:val="auto"/>
        </w:rPr>
        <w:t xml:space="preserve"> for such stock as quoted on such exchange or market (or the exchange or market with the greatest volume of trading in the Common Stock) </w:t>
      </w:r>
      <w:r>
        <w:rPr>
          <w:rFonts w:ascii="Arial" w:cs="Arial" w:eastAsia="Arial" w:hAnsi="Arial"/>
          <w:sz w:val="18"/>
          <w:szCs w:val="18"/>
          <w:b w:val="1"/>
          <w:bCs w:val="1"/>
          <w:u w:val="single" w:color="auto"/>
          <w:color w:val="auto"/>
        </w:rPr>
        <w:t>on the date of determination</w:t>
      </w:r>
      <w:r>
        <w:rPr>
          <w:rFonts w:ascii="Arial" w:cs="Arial" w:eastAsia="Arial" w:hAnsi="Arial"/>
          <w:sz w:val="18"/>
          <w:szCs w:val="18"/>
          <w:color w:val="auto"/>
        </w:rPr>
        <w:t>, as reported in a source the Board deems reliable.</w:t>
      </w:r>
    </w:p>
    <w:p>
      <w:pPr>
        <w:spacing w:after="0" w:line="184" w:lineRule="exact"/>
        <w:rPr>
          <w:rFonts w:ascii="Arial" w:cs="Arial" w:eastAsia="Arial" w:hAnsi="Arial"/>
          <w:sz w:val="18"/>
          <w:szCs w:val="18"/>
          <w:b w:val="1"/>
          <w:bCs w:val="1"/>
          <w:color w:val="auto"/>
        </w:rPr>
      </w:pPr>
    </w:p>
    <w:p>
      <w:pPr>
        <w:ind w:firstLine="1297"/>
        <w:spacing w:after="0" w:line="275" w:lineRule="auto"/>
        <w:tabs>
          <w:tab w:leader="none" w:pos="1715"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Unless otherwise provided by the Board, if there is no closing sales price for the Common Stock on the date of determination, then the Fair Market Value will be the closing selling price on the last preceding date for which such quotation exists.</w:t>
      </w:r>
    </w:p>
    <w:p>
      <w:pPr>
        <w:spacing w:after="0" w:line="170" w:lineRule="exact"/>
        <w:rPr>
          <w:rFonts w:ascii="Arial" w:cs="Arial" w:eastAsia="Arial" w:hAnsi="Arial"/>
          <w:sz w:val="18"/>
          <w:szCs w:val="18"/>
          <w:b w:val="1"/>
          <w:bCs w:val="1"/>
          <w:color w:val="auto"/>
        </w:rPr>
      </w:pPr>
    </w:p>
    <w:p>
      <w:pPr>
        <w:ind w:right="20" w:firstLine="1297"/>
        <w:spacing w:after="0" w:line="275" w:lineRule="auto"/>
        <w:tabs>
          <w:tab w:leader="none" w:pos="1739" w:val="left"/>
        </w:tabs>
        <w:numPr>
          <w:ilvl w:val="0"/>
          <w:numId w:val="108"/>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and in a manner that complies with Sections 409A and 422 of the Code.</w:t>
      </w:r>
    </w:p>
    <w:p>
      <w:pPr>
        <w:spacing w:after="0" w:line="167" w:lineRule="exact"/>
        <w:rPr>
          <w:sz w:val="20"/>
          <w:szCs w:val="20"/>
          <w:color w:val="auto"/>
        </w:rPr>
      </w:pPr>
    </w:p>
    <w:p>
      <w:pPr>
        <w:jc w:val="both"/>
        <w:ind w:right="20" w:firstLine="645"/>
        <w:spacing w:after="0" w:line="280" w:lineRule="auto"/>
        <w:rPr>
          <w:sz w:val="20"/>
          <w:szCs w:val="20"/>
          <w:color w:val="auto"/>
        </w:rPr>
      </w:pPr>
      <w:r>
        <w:rPr>
          <w:rFonts w:ascii="Arial" w:cs="Arial" w:eastAsia="Arial" w:hAnsi="Arial"/>
          <w:sz w:val="18"/>
          <w:szCs w:val="18"/>
          <w:b w:val="1"/>
          <w:bCs w:val="1"/>
          <w:color w:val="auto"/>
        </w:rPr>
        <w: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means an option granted pursuant to Section 5 of the Plan that is intended to be, and qualifies as, an “incentive</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within the meaning of Section 422 of the Code.</w:t>
      </w:r>
    </w:p>
    <w:p>
      <w:pPr>
        <w:spacing w:after="0" w:line="162" w:lineRule="exact"/>
        <w:rPr>
          <w:sz w:val="20"/>
          <w:szCs w:val="20"/>
          <w:color w:val="auto"/>
        </w:rPr>
      </w:pPr>
    </w:p>
    <w:p>
      <w:pPr>
        <w:jc w:val="both"/>
        <w:ind w:firstLine="645"/>
        <w:spacing w:after="0" w:line="255" w:lineRule="auto"/>
        <w:rPr>
          <w:sz w:val="20"/>
          <w:szCs w:val="20"/>
          <w:color w:val="auto"/>
        </w:rPr>
      </w:pPr>
      <w:r>
        <w:rPr>
          <w:rFonts w:ascii="Arial" w:cs="Arial" w:eastAsia="Arial" w:hAnsi="Arial"/>
          <w:sz w:val="18"/>
          <w:szCs w:val="18"/>
          <w:b w:val="1"/>
          <w:bCs w:val="1"/>
          <w:color w:val="auto"/>
        </w:rPr>
        <w:t>(z)</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Non-Employee Director</w:t>
      </w:r>
      <w:r>
        <w:rPr>
          <w:rFonts w:ascii="Arial" w:cs="Arial" w:eastAsia="Arial" w:hAnsi="Arial"/>
          <w:sz w:val="18"/>
          <w:szCs w:val="18"/>
          <w:color w:val="auto"/>
        </w:rPr>
        <w:t>” means a Director who either (i) is not a current employee or officer of the Company or an Affiliate, does not</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compensation, either directly or indirectly, from the Company or an Affiliate for services rendered as a consultant or in any capacity other than as a Director (except for an amount as to which disclosure would not be required under Item 404(a) of Regulation S-K promulgated pursuant to the Securities Act (“</w:t>
      </w:r>
      <w:r>
        <w:rPr>
          <w:rFonts w:ascii="Arial" w:cs="Arial" w:eastAsia="Arial" w:hAnsi="Arial"/>
          <w:sz w:val="18"/>
          <w:szCs w:val="18"/>
          <w:b w:val="1"/>
          <w:bCs w:val="1"/>
          <w:i w:val="1"/>
          <w:iCs w:val="1"/>
          <w:color w:val="auto"/>
        </w:rPr>
        <w:t>Regulation S-K</w:t>
      </w:r>
      <w:r>
        <w:rPr>
          <w:rFonts w:ascii="Arial" w:cs="Arial" w:eastAsia="Arial" w:hAnsi="Arial"/>
          <w:sz w:val="18"/>
          <w:szCs w:val="18"/>
          <w:color w:val="auto"/>
        </w:rPr>
        <w:t>”)), does not possess an interest in any other transaction for which disclosure would be required under Item 404(a) of Regulation S-K, and is not engaged in a business relationship for which disclosure would be required pursuant to Item 404(b) of Regulation S-K; or (ii) is otherwise considered a “non-employee director” for purposes of Rule 16b-3.</w:t>
      </w:r>
    </w:p>
    <w:p>
      <w:pPr>
        <w:spacing w:after="0" w:line="18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(aa)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Nonstatutory Stock Option</w:t>
      </w:r>
      <w:r>
        <w:rPr>
          <w:rFonts w:ascii="Arial" w:cs="Arial" w:eastAsia="Arial" w:hAnsi="Arial"/>
          <w:sz w:val="16"/>
          <w:szCs w:val="16"/>
          <w:color w:val="auto"/>
        </w:rPr>
        <w:t>” means any Option granted pursuant to Section 5 of the Plan that does not qualify as an Incentive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7" w:name="page138"/>
    <w:bookmarkEnd w:id="137"/>
    <w:p>
      <w:pPr>
        <w:ind w:left="660"/>
        <w:spacing w:after="0"/>
        <w:tabs>
          <w:tab w:leader="none" w:pos="1200" w:val="left"/>
        </w:tabs>
        <w:rPr>
          <w:sz w:val="20"/>
          <w:szCs w:val="20"/>
          <w:color w:val="auto"/>
        </w:rPr>
      </w:pPr>
      <w:r>
        <w:rPr>
          <w:rFonts w:ascii="Arial" w:cs="Arial" w:eastAsia="Arial" w:hAnsi="Arial"/>
          <w:sz w:val="18"/>
          <w:szCs w:val="18"/>
          <w:b w:val="1"/>
          <w:bCs w:val="1"/>
          <w:color w:val="auto"/>
        </w:rPr>
        <w:t>(bb)</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within the meaning of Section 16 of the Exchange Act.</w:t>
      </w:r>
    </w:p>
    <w:p>
      <w:pPr>
        <w:spacing w:after="0" w:line="223"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18"/>
          <w:szCs w:val="18"/>
          <w:b w:val="1"/>
          <w:bCs w:val="1"/>
          <w:color w:val="auto"/>
        </w:rPr>
        <w:t>(cc)</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Option</w:t>
      </w:r>
      <w:r>
        <w:rPr>
          <w:rFonts w:ascii="Arial" w:cs="Arial" w:eastAsia="Arial" w:hAnsi="Arial"/>
          <w:sz w:val="16"/>
          <w:szCs w:val="16"/>
          <w:color w:val="auto"/>
        </w:rPr>
        <w:t>” means an Incentive Stock Option or a Nonstatutory Stock Option to purchase shares of Common Stock granted pursuant to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04"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(dd)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Option Agreement</w:t>
      </w:r>
      <w:r>
        <w:rPr>
          <w:rFonts w:ascii="Arial" w:cs="Arial" w:eastAsia="Arial" w:hAnsi="Arial"/>
          <w:sz w:val="18"/>
          <w:szCs w:val="18"/>
          <w:color w:val="auto"/>
        </w:rPr>
        <w:t>” means a written agreement between the Company and an Optionholder evidencing the terms and conditions of an</w:t>
      </w:r>
      <w:r>
        <w:rPr>
          <w:rFonts w:ascii="Arial" w:cs="Arial" w:eastAsia="Arial" w:hAnsi="Arial"/>
          <w:sz w:val="18"/>
          <w:szCs w:val="18"/>
          <w:b w:val="1"/>
          <w:bCs w:val="1"/>
          <w:color w:val="auto"/>
        </w:rPr>
        <w:t xml:space="preserve"> </w:t>
      </w:r>
      <w:r>
        <w:rPr>
          <w:rFonts w:ascii="Arial" w:cs="Arial" w:eastAsia="Arial" w:hAnsi="Arial"/>
          <w:sz w:val="18"/>
          <w:szCs w:val="18"/>
          <w:color w:val="auto"/>
        </w:rPr>
        <w:t>Option grant. Each Option Agreement will be subject to the terms and conditions of the Plan.</w:t>
      </w:r>
    </w:p>
    <w:p>
      <w:pPr>
        <w:spacing w:after="0" w:line="162"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Optionholder</w:t>
      </w:r>
      <w:r>
        <w:rPr>
          <w:rFonts w:ascii="Arial" w:cs="Arial" w:eastAsia="Arial" w:hAnsi="Arial"/>
          <w:sz w:val="18"/>
          <w:szCs w:val="18"/>
          <w:color w:val="auto"/>
        </w:rPr>
        <w:t>” means a person to whom an Option is granted pursuant to the Plan or, if applicable, such other person who holds an</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Option.</w:t>
      </w:r>
    </w:p>
    <w:p>
      <w:pPr>
        <w:spacing w:after="0" w:line="162" w:lineRule="exact"/>
        <w:rPr>
          <w:sz w:val="20"/>
          <w:szCs w:val="20"/>
          <w:color w:val="auto"/>
        </w:rPr>
      </w:pPr>
    </w:p>
    <w:p>
      <w:pPr>
        <w:jc w:val="both"/>
        <w:ind w:right="20" w:firstLine="645"/>
        <w:spacing w:after="0" w:line="280" w:lineRule="auto"/>
        <w:rPr>
          <w:sz w:val="20"/>
          <w:szCs w:val="20"/>
          <w:color w:val="auto"/>
        </w:rPr>
      </w:pPr>
      <w:r>
        <w:rPr>
          <w:rFonts w:ascii="Arial" w:cs="Arial" w:eastAsia="Arial" w:hAnsi="Arial"/>
          <w:sz w:val="18"/>
          <w:szCs w:val="18"/>
          <w:b w:val="1"/>
          <w:bCs w:val="1"/>
          <w:color w:val="auto"/>
        </w:rPr>
        <w:t>(ff)</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Other Stock Award</w:t>
      </w:r>
      <w:r>
        <w:rPr>
          <w:rFonts w:ascii="Arial" w:cs="Arial" w:eastAsia="Arial" w:hAnsi="Arial"/>
          <w:sz w:val="18"/>
          <w:szCs w:val="18"/>
          <w:color w:val="auto"/>
        </w:rPr>
        <w:t>” means an award based in whole or in part by reference to the Common Stock which is granted pursuant to the terms</w:t>
      </w:r>
      <w:r>
        <w:rPr>
          <w:rFonts w:ascii="Arial" w:cs="Arial" w:eastAsia="Arial" w:hAnsi="Arial"/>
          <w:sz w:val="18"/>
          <w:szCs w:val="18"/>
          <w:b w:val="1"/>
          <w:bCs w:val="1"/>
          <w:color w:val="auto"/>
        </w:rPr>
        <w:t xml:space="preserve"> </w:t>
      </w:r>
      <w:r>
        <w:rPr>
          <w:rFonts w:ascii="Arial" w:cs="Arial" w:eastAsia="Arial" w:hAnsi="Arial"/>
          <w:sz w:val="18"/>
          <w:szCs w:val="18"/>
          <w:color w:val="auto"/>
        </w:rPr>
        <w:t>and conditions of Section 6(d).</w:t>
      </w:r>
    </w:p>
    <w:p>
      <w:pPr>
        <w:spacing w:after="0" w:line="162" w:lineRule="exact"/>
        <w:rPr>
          <w:sz w:val="20"/>
          <w:szCs w:val="20"/>
          <w:color w:val="auto"/>
        </w:rPr>
      </w:pPr>
    </w:p>
    <w:p>
      <w:pPr>
        <w:jc w:val="both"/>
        <w:ind w:firstLine="645"/>
        <w:spacing w:after="0" w:line="310" w:lineRule="auto"/>
        <w:rPr>
          <w:sz w:val="20"/>
          <w:szCs w:val="20"/>
          <w:color w:val="auto"/>
        </w:rPr>
      </w:pPr>
      <w:r>
        <w:rPr>
          <w:rFonts w:ascii="Arial" w:cs="Arial" w:eastAsia="Arial" w:hAnsi="Arial"/>
          <w:sz w:val="17"/>
          <w:szCs w:val="17"/>
          <w:b w:val="1"/>
          <w:bCs w:val="1"/>
          <w:color w:val="auto"/>
        </w:rPr>
        <w:t>(gg)</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Other Stock Award Agreement</w:t>
      </w:r>
      <w:r>
        <w:rPr>
          <w:rFonts w:ascii="Arial" w:cs="Arial" w:eastAsia="Arial" w:hAnsi="Arial"/>
          <w:sz w:val="17"/>
          <w:szCs w:val="17"/>
          <w:color w:val="auto"/>
        </w:rPr>
        <w:t>” means a written agreement between the Company and a holder of an Other Stock Award evidencing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terms and conditions of an Other Stock Award grant. Each Other Stock Award Agreement will be subject to the terms and conditions of the Plan.</w:t>
      </w:r>
    </w:p>
    <w:p>
      <w:pPr>
        <w:spacing w:after="0" w:line="140" w:lineRule="exact"/>
        <w:rPr>
          <w:sz w:val="20"/>
          <w:szCs w:val="20"/>
          <w:color w:val="auto"/>
        </w:rPr>
      </w:pPr>
    </w:p>
    <w:p>
      <w:pPr>
        <w:jc w:val="both"/>
        <w:ind w:firstLine="645"/>
        <w:spacing w:after="0" w:line="287" w:lineRule="auto"/>
        <w:rPr>
          <w:sz w:val="20"/>
          <w:szCs w:val="20"/>
          <w:color w:val="auto"/>
        </w:rPr>
      </w:pPr>
      <w:r>
        <w:rPr>
          <w:rFonts w:ascii="Arial" w:cs="Arial" w:eastAsia="Arial" w:hAnsi="Arial"/>
          <w:sz w:val="17"/>
          <w:szCs w:val="17"/>
          <w:b w:val="1"/>
          <w:bCs w:val="1"/>
          <w:color w:val="auto"/>
        </w:rPr>
        <w:t>(hh)</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Own,</w:t>
      </w:r>
      <w:r>
        <w:rPr>
          <w:rFonts w:ascii="Arial" w:cs="Arial" w:eastAsia="Arial" w:hAnsi="Arial"/>
          <w:sz w:val="17"/>
          <w:szCs w:val="17"/>
          <w:color w:val="auto"/>
        </w:rPr>
        <w:t>” “</w:t>
      </w:r>
      <w:r>
        <w:rPr>
          <w:rFonts w:ascii="Arial" w:cs="Arial" w:eastAsia="Arial" w:hAnsi="Arial"/>
          <w:sz w:val="17"/>
          <w:szCs w:val="17"/>
          <w:b w:val="1"/>
          <w:bCs w:val="1"/>
          <w:i w:val="1"/>
          <w:iCs w:val="1"/>
          <w:color w:val="auto"/>
        </w:rPr>
        <w:t>Owned,</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w:t>
      </w:r>
      <w:r>
        <w:rPr>
          <w:rFonts w:ascii="Arial" w:cs="Arial" w:eastAsia="Arial" w:hAnsi="Arial"/>
          <w:sz w:val="17"/>
          <w:szCs w:val="17"/>
          <w:color w:val="auto"/>
        </w:rPr>
        <w:t>” “</w:t>
      </w:r>
      <w:r>
        <w:rPr>
          <w:rFonts w:ascii="Arial" w:cs="Arial" w:eastAsia="Arial" w:hAnsi="Arial"/>
          <w:sz w:val="17"/>
          <w:szCs w:val="17"/>
          <w:b w:val="1"/>
          <w:bCs w:val="1"/>
          <w:i w:val="1"/>
          <w:iCs w:val="1"/>
          <w:color w:val="auto"/>
        </w:rPr>
        <w:t>Ownership</w:t>
      </w:r>
      <w:r>
        <w:rPr>
          <w:rFonts w:ascii="Arial" w:cs="Arial" w:eastAsia="Arial" w:hAnsi="Arial"/>
          <w:sz w:val="17"/>
          <w:szCs w:val="17"/>
          <w:color w:val="auto"/>
        </w:rPr>
        <w:t>” means a person or Entity will be deemed to “Own,” to have “Owned,” to be the “Owner” of, or</w:t>
      </w:r>
      <w:r>
        <w:rPr>
          <w:rFonts w:ascii="Arial" w:cs="Arial" w:eastAsia="Arial" w:hAnsi="Arial"/>
          <w:sz w:val="17"/>
          <w:szCs w:val="17"/>
          <w:b w:val="1"/>
          <w:bCs w:val="1"/>
          <w:color w:val="auto"/>
        </w:rPr>
        <w:t xml:space="preserve"> </w:t>
      </w:r>
      <w:r>
        <w:rPr>
          <w:rFonts w:ascii="Arial" w:cs="Arial" w:eastAsia="Arial" w:hAnsi="Arial"/>
          <w:sz w:val="17"/>
          <w:szCs w:val="17"/>
          <w:color w:val="auto"/>
        </w:rPr>
        <w:t>to have acquired “Ownership” of securities if such person or Entity, directly or indirectly, through any contract, arrangement, understanding, relationship or otherwise, has or shares voting power, which includes the power to vote or to direct the voting, with respect to such securities.</w:t>
      </w:r>
    </w:p>
    <w:p>
      <w:pPr>
        <w:spacing w:after="0" w:line="159"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 person to whom an Award is granted pursuant to the Plan or, if applicable, such other person who holds an outstanding</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(jj)</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Performance Cash Award</w:t>
      </w:r>
      <w:r>
        <w:rPr>
          <w:rFonts w:ascii="Arial" w:cs="Arial" w:eastAsia="Arial" w:hAnsi="Arial"/>
          <w:sz w:val="16"/>
          <w:szCs w:val="16"/>
          <w:color w:val="auto"/>
        </w:rPr>
        <w:t>” means an award of cash granted pursuant to the terms and conditions of Section 6(c)(ii).</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8" w:name="page139"/>
    <w:bookmarkEnd w:id="138"/>
    <w:p>
      <w:pPr>
        <w:jc w:val="both"/>
        <w:ind w:firstLine="645"/>
        <w:spacing w:after="0" w:line="282" w:lineRule="auto"/>
        <w:rPr>
          <w:sz w:val="20"/>
          <w:szCs w:val="20"/>
          <w:color w:val="auto"/>
        </w:rPr>
      </w:pPr>
      <w:r>
        <w:rPr>
          <w:rFonts w:ascii="Arial" w:cs="Arial" w:eastAsia="Arial" w:hAnsi="Arial"/>
          <w:sz w:val="16"/>
          <w:szCs w:val="16"/>
          <w:b w:val="1"/>
          <w:bCs w:val="1"/>
          <w:color w:val="auto"/>
        </w:rPr>
        <w:t>(kk)</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Performance Criteria</w:t>
      </w:r>
      <w:r>
        <w:rPr>
          <w:rFonts w:ascii="Arial" w:cs="Arial" w:eastAsia="Arial" w:hAnsi="Arial"/>
          <w:sz w:val="16"/>
          <w:szCs w:val="16"/>
          <w:color w:val="auto"/>
        </w:rPr>
        <w:t>” means the one or more criteria that the Board will select for purposes of establishing the Performance Goals for a</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Period. The Performance Criteria that will be used to establish such Performance Goals may be based on any one of, or combination of, the following as determined by the Board: (i) earnings (including earnings per share and net earnings); (ii) earnings before interest, taxes and depreciation; (iii) earnings before interest, taxes, depreciation and amortization; (iv) earnings before interest, taxes, depreciation, amortization and legal settlements; (v) earnings before interest, taxes, depreciation, amortization, legal settlements and other income (expense); (vi) earnings before interest, taxes, depreciation, amortization, legal settlements, other income (expense) and stock-based compensation; (vii) earnings before interest, taxes, depreciation, amortization, legal settlements, other income (expense), stock-based compensation and changes in deferred revenue; (viii) total stockholder return; (ix) return on equity or average stockholder’s equity; (x) return on assets, investment, or capital employed; (xi) stock price; (xii) margin (including gross margin); (xiii) income (before or after taxes); (xiv) operating income; (xv) operating income after taxes; (xvi) pre-tax profit; (xvii) operating cash flow; (xviii) sales or revenue targets; (xix) increases in revenue or product revenue; (xx) expenses and cost reduction goals; (xxi) improvement in or attainment of working capital levels;</w:t>
      </w:r>
    </w:p>
    <w:p>
      <w:pPr>
        <w:spacing w:after="0" w:line="7" w:lineRule="exact"/>
        <w:rPr>
          <w:sz w:val="20"/>
          <w:szCs w:val="20"/>
          <w:color w:val="auto"/>
        </w:rPr>
      </w:pPr>
    </w:p>
    <w:p>
      <w:pPr>
        <w:ind w:left="460" w:hanging="453"/>
        <w:spacing w:after="0"/>
        <w:tabs>
          <w:tab w:leader="none" w:pos="46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economic value added (or an equivalent metric); (xxiii) market share; (xxiv) cash flow; (xxv) cash flow per share; (xxvi) share price performance;</w:t>
      </w:r>
    </w:p>
    <w:p>
      <w:pPr>
        <w:spacing w:after="0" w:line="31" w:lineRule="exact"/>
        <w:rPr>
          <w:rFonts w:ascii="Arial" w:cs="Arial" w:eastAsia="Arial" w:hAnsi="Arial"/>
          <w:sz w:val="16"/>
          <w:szCs w:val="16"/>
          <w:color w:val="auto"/>
        </w:rPr>
      </w:pPr>
    </w:p>
    <w:p>
      <w:pPr>
        <w:jc w:val="both"/>
        <w:ind w:firstLine="7"/>
        <w:spacing w:after="0" w:line="283" w:lineRule="auto"/>
        <w:tabs>
          <w:tab w:leader="none" w:pos="561" w:val="left"/>
        </w:tabs>
        <w:numPr>
          <w:ilvl w:val="0"/>
          <w:numId w:val="110"/>
        </w:numPr>
        <w:rPr>
          <w:rFonts w:ascii="Arial" w:cs="Arial" w:eastAsia="Arial" w:hAnsi="Arial"/>
          <w:sz w:val="16"/>
          <w:szCs w:val="16"/>
          <w:color w:val="auto"/>
        </w:rPr>
      </w:pPr>
      <w:r>
        <w:rPr>
          <w:rFonts w:ascii="Arial" w:cs="Arial" w:eastAsia="Arial" w:hAnsi="Arial"/>
          <w:sz w:val="16"/>
          <w:szCs w:val="16"/>
          <w:color w:val="auto"/>
        </w:rPr>
        <w:t>debt reduction; (xxviii) implementation or completion of projects or processes; (xxix) customer satisfaction; (xxx) stockholders’ equity; (xxxi) capital expenditures; (xxxii) debt levels; (xxxiii) operating profit or net operating profit; (xxxiv) workforce diversity; (xxxv) growth of net income or operating income; (xxxvi) billings; (xxxvii) bookings; (xxxviii) the number of customers, including but not limited to customers users; (xxxix) employee retention; (xl) pre-clinical development related compound goals; (xli) financing; (xlii) regulatory milestones, including approval of a compound; (xliii) stockholder liquidity; (xliv) corporate governance and compliance; (xlv) product commercialization; (xlvi) intellectual property; (xlvii) personnel matters; (xlviii) progress of internal research or clinical programs; (xlix) progress of partnered programs; (l) implementation or completion of projects and processes; (li) partner satisfaction; (lii) budget management; (liii) clinical achievements; (liv) completing phases of a clinical study (including the treatment phase); (lv) announcing or presenting preliminary or final data from clinical studies; in each case, whether on particular timelines or generally; (lvi) timely completion of clinical trials; (lvii) submission of INDs and NDAs and other regulatory achievements; (lviii) partner or collaborator achievements; (lix) internal controls, including those related to the Sarbanes-Oxley Act of 2002; (lx) research progress, including the development of programs; (lxi) investor relations, analysts and communication; (lxii) manufacturing achievements (including obtaining particular yields from manufacturing runs and other measurable objectives related to process development activities); (lxiii) strategic partnerships or transactions (including in-licensing and out-licensing of intellectual property; (lxiv) establishing relationships with commercial entities with respect to the marketing, distribution and sale of the Company’s products (including with group purchasing organizations, distributors and other vendors); (lxv) supply chain achievements (including establishing relationships with manufacturers or suppliers of active pharmaceutical ingredients and other component materials and manufacturers of the Company’s products); (lxvi) co-development, co-marketing, profit sharing, joint venture or other similar arrangements; and (lxvii) and other measures of performance selected by the Board.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39" w:name="page140"/>
    <w:bookmarkEnd w:id="139"/>
    <w:p>
      <w:pPr>
        <w:jc w:val="both"/>
        <w:ind w:firstLine="645"/>
        <w:spacing w:after="0" w:line="283" w:lineRule="auto"/>
        <w:rPr>
          <w:sz w:val="20"/>
          <w:szCs w:val="20"/>
          <w:color w:val="auto"/>
        </w:rPr>
      </w:pPr>
      <w:r>
        <w:rPr>
          <w:rFonts w:ascii="Arial" w:cs="Arial" w:eastAsia="Arial" w:hAnsi="Arial"/>
          <w:sz w:val="16"/>
          <w:szCs w:val="16"/>
          <w:b w:val="1"/>
          <w:bCs w:val="1"/>
          <w:color w:val="auto"/>
        </w:rPr>
        <w:t>(ll)</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means, for a Performance Period, the one or more goals established by the Board for the Performance Period based</w:t>
      </w:r>
      <w:r>
        <w:rPr>
          <w:rFonts w:ascii="Arial" w:cs="Arial" w:eastAsia="Arial" w:hAnsi="Arial"/>
          <w:sz w:val="16"/>
          <w:szCs w:val="16"/>
          <w:b w:val="1"/>
          <w:bCs w:val="1"/>
          <w:color w:val="auto"/>
        </w:rPr>
        <w:t xml:space="preserve"> </w:t>
      </w:r>
      <w:r>
        <w:rPr>
          <w:rFonts w:ascii="Arial" w:cs="Arial" w:eastAsia="Arial" w:hAnsi="Arial"/>
          <w:sz w:val="16"/>
          <w:szCs w:val="16"/>
          <w:color w:val="auto"/>
        </w:rPr>
        <w:t>upon the Performance Criteria. Performance Goals may be based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by the Board (i) in the Award Agreement at the time the Award is granted or (ii) in such other document setting forth the Performance Goals at the time the Performance Goals are established, the Board will appropriately make adjustments in the method of calculating the attainment of Performance Goals for a Performance Period as follows: (1) to exclude restructuring and/or other nonrecurring charges; (2) to exclude exchange rate effects; (3) to exclude the effects of changes to generally accepted accounting principles; (4) to exclude the effects of any statutory adjustments to corporate tax rates; (5) to exclude the effects of any “extraordinary items” as determined under generally accepted accounting principles; (6) to exclude the dilutive effects of acquisitions or joint ventures; (7) to assume that any business divested by the Company achieved performance objectives at targeted levels during the balance of a Performance Period following such divestiture; (8) to exclude the effect of any change in the outstanding shares of common stock of the Company by reason of any stock dividend or split, stock repurchase, reorganization, recapitalization, merger, consolidation, spin-off, combination or exchange of shares or other similar corporate change, or any distributions to common stockholders other than regular cash dividends; (9) to exclude the effects of stock based compensation and the award of bonuses under the Company’s bonus plans; (10) to exclude costs incurred in connection with potential acquisitions or divestitures that are required to expensed under generally accepted accounting principles; (11) to exclude the goodwill and intangible asset impairment charges that are required to be recorded under generally accepted accounting principles, (12) to exclude the effects of the timing of acceptance for review and/or approval of submissions to the Food and Drug Administration or any other regulatory body and (13) to exclude the effect of any other unusual, non-recurring gain or loss or other extraordinary item. In addition, the Board retains the discretion to reduce or eliminate the compensation or economic benefit due upon attainment of Performance Goals and to define the manner of calculating the Performance Criteria it selects to use for such Performance Period. Partial achievement of the specified criteria may result in the payment or vesting corresponding to the degree of achievement as specified in the Stock Award Agreement or the written terms of a Performance Cash Award.</w:t>
      </w:r>
    </w:p>
    <w:p>
      <w:pPr>
        <w:spacing w:after="0" w:line="176"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(mm)</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Performance Period</w:t>
      </w:r>
      <w:r>
        <w:rPr>
          <w:rFonts w:ascii="Arial" w:cs="Arial" w:eastAsia="Arial" w:hAnsi="Arial"/>
          <w:sz w:val="18"/>
          <w:szCs w:val="18"/>
          <w:color w:val="auto"/>
        </w:rPr>
        <w:t>” means the period of time selected by the Board over which the attainment of one or more Performance Goals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measured for the purpose of determining a Participant’s right to and the payment of a Stock Award or a Performance Cash Award. Performance Periods may be of varying and overlapping duration, at the sole discretion of the Board.</w:t>
      </w:r>
    </w:p>
    <w:p>
      <w:pPr>
        <w:spacing w:after="0" w:line="177"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(nn)</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Performance Stock Award</w:t>
      </w:r>
      <w:r>
        <w:rPr>
          <w:rFonts w:ascii="Arial" w:cs="Arial" w:eastAsia="Arial" w:hAnsi="Arial"/>
          <w:sz w:val="16"/>
          <w:szCs w:val="16"/>
          <w:color w:val="auto"/>
        </w:rPr>
        <w:t>” means a Stock Award granted under the terms and conditions of Section 6(c)(i).</w:t>
      </w: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(oo)</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Plan</w:t>
      </w:r>
      <w:r>
        <w:rPr>
          <w:rFonts w:ascii="Arial" w:cs="Arial" w:eastAsia="Arial" w:hAnsi="Arial"/>
          <w:sz w:val="16"/>
          <w:szCs w:val="16"/>
          <w:color w:val="auto"/>
        </w:rPr>
        <w:t>” means this Amended and Restated KemPharm, Inc. 2014 Equity Incentive Plan, as it may be amended.</w:t>
      </w:r>
    </w:p>
    <w:p>
      <w:pPr>
        <w:spacing w:after="0" w:line="223"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b w:val="1"/>
          <w:bCs w:val="1"/>
          <w:color w:val="auto"/>
        </w:rPr>
        <w:t>(pp)</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Restricted Stock Award</w:t>
      </w:r>
      <w:r>
        <w:rPr>
          <w:rFonts w:ascii="Arial" w:cs="Arial" w:eastAsia="Arial" w:hAnsi="Arial"/>
          <w:sz w:val="16"/>
          <w:szCs w:val="16"/>
          <w:color w:val="auto"/>
        </w:rPr>
        <w:t>” means an award of shares of Common Stock which is granted pursuant to the terms and conditions of Section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6(a).</w:t>
      </w:r>
    </w:p>
    <w:p>
      <w:pPr>
        <w:spacing w:after="0" w:line="204"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(qq)</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Stock Award Agreement</w:t>
      </w:r>
      <w:r>
        <w:rPr>
          <w:rFonts w:ascii="Arial" w:cs="Arial" w:eastAsia="Arial" w:hAnsi="Arial"/>
          <w:sz w:val="18"/>
          <w:szCs w:val="18"/>
          <w:color w:val="auto"/>
        </w:rPr>
        <w:t>” means a written agreement between the Company and a holder of a Restricted Stock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Award grant. Each Restricted Stock Award Agreement will be subject to the terms and conditions of the Plan.</w:t>
      </w:r>
    </w:p>
    <w:p>
      <w:pPr>
        <w:spacing w:after="0" w:line="177"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(rr)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Stock Unit Award</w:t>
      </w:r>
      <w:r>
        <w:rPr>
          <w:rFonts w:ascii="Arial" w:cs="Arial" w:eastAsia="Arial" w:hAnsi="Arial"/>
          <w:sz w:val="18"/>
          <w:szCs w:val="18"/>
          <w:color w:val="auto"/>
        </w:rPr>
        <w:t>” means a right to receive shares of Common Stock which is granted pursuant to the terms and conditions of</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6(b).</w:t>
      </w:r>
    </w:p>
    <w:p>
      <w:pPr>
        <w:spacing w:after="0" w:line="162"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(ss)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Restricted Stock Unit Award Agreement</w:t>
      </w:r>
      <w:r>
        <w:rPr>
          <w:rFonts w:ascii="Arial" w:cs="Arial" w:eastAsia="Arial" w:hAnsi="Arial"/>
          <w:sz w:val="18"/>
          <w:szCs w:val="18"/>
          <w:color w:val="auto"/>
        </w:rPr>
        <w:t>” means a written agreement between the Company and a holder of a Restricted Stock Unit Award</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Restricted Stock Unit Award grant. Each Restricted Stock Unit Award Agreement will be subject to the terms and conditions of the Plan.</w:t>
      </w:r>
    </w:p>
    <w:p>
      <w:pPr>
        <w:spacing w:after="0" w:line="177" w:lineRule="exact"/>
        <w:rPr>
          <w:sz w:val="20"/>
          <w:szCs w:val="20"/>
          <w:color w:val="auto"/>
        </w:rPr>
      </w:pPr>
    </w:p>
    <w:p>
      <w:pPr>
        <w:jc w:val="center"/>
        <w:spacing w:after="0"/>
        <w:tabs>
          <w:tab w:leader="none" w:pos="140" w:val="left"/>
        </w:tabs>
        <w:rPr>
          <w:sz w:val="20"/>
          <w:szCs w:val="20"/>
          <w:color w:val="auto"/>
        </w:rPr>
      </w:pPr>
      <w:r>
        <w:rPr>
          <w:rFonts w:ascii="Arial" w:cs="Arial" w:eastAsia="Arial" w:hAnsi="Arial"/>
          <w:sz w:val="18"/>
          <w:szCs w:val="18"/>
          <w:b w:val="1"/>
          <w:bCs w:val="1"/>
          <w:color w:val="auto"/>
        </w:rPr>
        <w:t>(tt)</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Rule 16b-3</w:t>
      </w:r>
      <w:r>
        <w:rPr>
          <w:rFonts w:ascii="Arial" w:cs="Arial" w:eastAsia="Arial" w:hAnsi="Arial"/>
          <w:sz w:val="16"/>
          <w:szCs w:val="16"/>
          <w:color w:val="auto"/>
        </w:rPr>
        <w:t>” means Rule 16b-3 promulgated under the Exchange Act or any successor to Rule 16b-3, as in effect from time to time.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0" w:name="page141"/>
    <w:bookmarkEnd w:id="140"/>
    <w:p>
      <w:pPr>
        <w:ind w:left="660"/>
        <w:spacing w:after="0"/>
        <w:tabs>
          <w:tab w:leader="none" w:pos="1200" w:val="left"/>
        </w:tabs>
        <w:rPr>
          <w:sz w:val="20"/>
          <w:szCs w:val="20"/>
          <w:color w:val="auto"/>
        </w:rPr>
      </w:pPr>
      <w:r>
        <w:rPr>
          <w:rFonts w:ascii="Arial" w:cs="Arial" w:eastAsia="Arial" w:hAnsi="Arial"/>
          <w:sz w:val="18"/>
          <w:szCs w:val="18"/>
          <w:b w:val="1"/>
          <w:bCs w:val="1"/>
          <w:color w:val="auto"/>
        </w:rPr>
        <w:t>(uu)</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Securities Act of 1933, as amended.</w:t>
      </w:r>
    </w:p>
    <w:p>
      <w:pPr>
        <w:spacing w:after="0" w:line="223"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(vv)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or “</w:t>
      </w:r>
      <w:r>
        <w:rPr>
          <w:rFonts w:ascii="Arial" w:cs="Arial" w:eastAsia="Arial" w:hAnsi="Arial"/>
          <w:sz w:val="18"/>
          <w:szCs w:val="18"/>
          <w:b w:val="1"/>
          <w:bCs w:val="1"/>
          <w:i w:val="1"/>
          <w:iCs w:val="1"/>
          <w:color w:val="auto"/>
        </w:rPr>
        <w:t>SAR</w:t>
      </w:r>
      <w:r>
        <w:rPr>
          <w:rFonts w:ascii="Arial" w:cs="Arial" w:eastAsia="Arial" w:hAnsi="Arial"/>
          <w:sz w:val="18"/>
          <w:szCs w:val="18"/>
          <w:color w:val="auto"/>
        </w:rPr>
        <w:t>” means a right to receive the appreciation on Common Stock that is granted pursuant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Section 5.</w:t>
      </w:r>
    </w:p>
    <w:p>
      <w:pPr>
        <w:spacing w:after="0" w:line="162"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(ww)</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Appreciation Right Agreement</w:t>
      </w:r>
      <w:r>
        <w:rPr>
          <w:rFonts w:ascii="Arial" w:cs="Arial" w:eastAsia="Arial" w:hAnsi="Arial"/>
          <w:sz w:val="18"/>
          <w:szCs w:val="18"/>
          <w:color w:val="auto"/>
        </w:rPr>
        <w:t>” means a written agreement between the Company and a holder of a Stock Appreciation Right</w:t>
      </w:r>
      <w:r>
        <w:rPr>
          <w:rFonts w:ascii="Arial" w:cs="Arial" w:eastAsia="Arial" w:hAnsi="Arial"/>
          <w:sz w:val="18"/>
          <w:szCs w:val="18"/>
          <w:b w:val="1"/>
          <w:bCs w:val="1"/>
          <w:color w:val="auto"/>
        </w:rPr>
        <w:t xml:space="preserve"> </w:t>
      </w:r>
      <w:r>
        <w:rPr>
          <w:rFonts w:ascii="Arial" w:cs="Arial" w:eastAsia="Arial" w:hAnsi="Arial"/>
          <w:sz w:val="18"/>
          <w:szCs w:val="18"/>
          <w:color w:val="auto"/>
        </w:rPr>
        <w:t>evidencing the terms and conditions of a Stock Appreciation Right grant. Each Stock Appreciation Right Agreement will be subject to the terms and conditions of the Plan.</w:t>
      </w:r>
    </w:p>
    <w:p>
      <w:pPr>
        <w:spacing w:after="0" w:line="177" w:lineRule="exact"/>
        <w:rPr>
          <w:sz w:val="20"/>
          <w:szCs w:val="20"/>
          <w:color w:val="auto"/>
        </w:rPr>
      </w:pPr>
    </w:p>
    <w:p>
      <w:pPr>
        <w:jc w:val="both"/>
        <w:ind w:firstLine="645"/>
        <w:spacing w:after="0" w:line="264" w:lineRule="auto"/>
        <w:rPr>
          <w:sz w:val="20"/>
          <w:szCs w:val="20"/>
          <w:color w:val="auto"/>
        </w:rPr>
      </w:pPr>
      <w:r>
        <w:rPr>
          <w:rFonts w:ascii="Arial" w:cs="Arial" w:eastAsia="Arial" w:hAnsi="Arial"/>
          <w:sz w:val="18"/>
          <w:szCs w:val="18"/>
          <w:b w:val="1"/>
          <w:bCs w:val="1"/>
          <w:color w:val="auto"/>
        </w:rPr>
        <w:t>(xx)</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Award</w:t>
      </w:r>
      <w:r>
        <w:rPr>
          <w:rFonts w:ascii="Arial" w:cs="Arial" w:eastAsia="Arial" w:hAnsi="Arial"/>
          <w:sz w:val="18"/>
          <w:szCs w:val="18"/>
          <w:color w:val="auto"/>
        </w:rPr>
        <w:t>” means any right to receive Common Stock granted under the Plan, including an Incentive Stock Option, a Nonstatutory</w:t>
      </w:r>
      <w:r>
        <w:rPr>
          <w:rFonts w:ascii="Arial" w:cs="Arial" w:eastAsia="Arial" w:hAnsi="Arial"/>
          <w:sz w:val="18"/>
          <w:szCs w:val="18"/>
          <w:b w:val="1"/>
          <w:bCs w:val="1"/>
          <w:color w:val="auto"/>
        </w:rPr>
        <w:t xml:space="preserve"> </w:t>
      </w:r>
      <w:r>
        <w:rPr>
          <w:rFonts w:ascii="Arial" w:cs="Arial" w:eastAsia="Arial" w:hAnsi="Arial"/>
          <w:sz w:val="18"/>
          <w:szCs w:val="18"/>
          <w:color w:val="auto"/>
        </w:rPr>
        <w:t>Stock Option, a Restricted Stock Award, a Restricted Stock Unit Award, a Stock Appreciation Right, a Performance Stock Award or any Other Stock Award.</w:t>
      </w:r>
    </w:p>
    <w:p>
      <w:pPr>
        <w:spacing w:after="0" w:line="177" w:lineRule="exact"/>
        <w:rPr>
          <w:sz w:val="20"/>
          <w:szCs w:val="20"/>
          <w:color w:val="auto"/>
        </w:rPr>
      </w:pPr>
    </w:p>
    <w:p>
      <w:pPr>
        <w:jc w:val="both"/>
        <w:ind w:right="20" w:firstLine="645"/>
        <w:spacing w:after="0" w:line="280" w:lineRule="auto"/>
        <w:rPr>
          <w:sz w:val="20"/>
          <w:szCs w:val="20"/>
          <w:color w:val="auto"/>
        </w:rPr>
      </w:pPr>
      <w:r>
        <w:rPr>
          <w:rFonts w:ascii="Arial" w:cs="Arial" w:eastAsia="Arial" w:hAnsi="Arial"/>
          <w:sz w:val="18"/>
          <w:szCs w:val="18"/>
          <w:b w:val="1"/>
          <w:bCs w:val="1"/>
          <w:color w:val="auto"/>
        </w:rPr>
        <w:t>(yy)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Stock Award Agreement</w:t>
      </w:r>
      <w:r>
        <w:rPr>
          <w:rFonts w:ascii="Arial" w:cs="Arial" w:eastAsia="Arial" w:hAnsi="Arial"/>
          <w:sz w:val="18"/>
          <w:szCs w:val="18"/>
          <w:color w:val="auto"/>
        </w:rPr>
        <w:t>” means a written agreement between the Company and a Participant evidencing the terms and conditions of a</w:t>
      </w:r>
      <w:r>
        <w:rPr>
          <w:rFonts w:ascii="Arial" w:cs="Arial" w:eastAsia="Arial" w:hAnsi="Arial"/>
          <w:sz w:val="18"/>
          <w:szCs w:val="18"/>
          <w:b w:val="1"/>
          <w:bCs w:val="1"/>
          <w:color w:val="auto"/>
        </w:rPr>
        <w:t xml:space="preserve"> </w:t>
      </w:r>
      <w:r>
        <w:rPr>
          <w:rFonts w:ascii="Arial" w:cs="Arial" w:eastAsia="Arial" w:hAnsi="Arial"/>
          <w:sz w:val="18"/>
          <w:szCs w:val="18"/>
          <w:color w:val="auto"/>
        </w:rPr>
        <w:t>Stock Award grant. Each Stock Award Agreement will be subject to the terms and conditions of the Plan.</w:t>
      </w:r>
    </w:p>
    <w:p>
      <w:pPr>
        <w:spacing w:after="0" w:line="162" w:lineRule="exact"/>
        <w:rPr>
          <w:sz w:val="20"/>
          <w:szCs w:val="20"/>
          <w:color w:val="auto"/>
        </w:rPr>
      </w:pPr>
    </w:p>
    <w:p>
      <w:pPr>
        <w:jc w:val="both"/>
        <w:ind w:firstLine="645"/>
        <w:spacing w:after="0" w:line="256" w:lineRule="auto"/>
        <w:rPr>
          <w:sz w:val="20"/>
          <w:szCs w:val="20"/>
          <w:color w:val="auto"/>
        </w:rPr>
      </w:pPr>
      <w:r>
        <w:rPr>
          <w:rFonts w:ascii="Arial" w:cs="Arial" w:eastAsia="Arial" w:hAnsi="Arial"/>
          <w:sz w:val="18"/>
          <w:szCs w:val="18"/>
          <w:b w:val="1"/>
          <w:bCs w:val="1"/>
          <w:color w:val="auto"/>
        </w:rPr>
        <w:t>(zz)</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with respect to the Company, (i) any corporation of which more than 50% of the outstanding capital stock having</w:t>
      </w:r>
      <w:r>
        <w:rPr>
          <w:rFonts w:ascii="Arial" w:cs="Arial" w:eastAsia="Arial" w:hAnsi="Arial"/>
          <w:sz w:val="18"/>
          <w:szCs w:val="18"/>
          <w:b w:val="1"/>
          <w:bCs w:val="1"/>
          <w:color w:val="auto"/>
        </w:rPr>
        <w:t xml:space="preserve"> </w:t>
      </w:r>
      <w:r>
        <w:rPr>
          <w:rFonts w:ascii="Arial" w:cs="Arial" w:eastAsia="Arial" w:hAnsi="Arial"/>
          <w:sz w:val="18"/>
          <w:szCs w:val="18"/>
          <w:color w:val="auto"/>
        </w:rPr>
        <w:t>ordinary voting power to elect a majority of the board of directors of such corporation (irrespective of whether, at the time, stock of any other class or classes of such corporation will have or might have voting power by reason of the happening of any contingency) is at the time, directly or indirectly, Owned by the Company, and (ii) any partnership, limited liability company or other entity in which the Company has a direct or indirect interest (whether in the form of voting or participation in profits or capital contribution) of more than 50%.</w:t>
      </w:r>
    </w:p>
    <w:p>
      <w:pPr>
        <w:spacing w:after="0" w:line="186" w:lineRule="exact"/>
        <w:rPr>
          <w:sz w:val="20"/>
          <w:szCs w:val="20"/>
          <w:color w:val="auto"/>
        </w:rPr>
      </w:pPr>
    </w:p>
    <w:p>
      <w:pPr>
        <w:jc w:val="both"/>
        <w:ind w:firstLine="645"/>
        <w:spacing w:after="0" w:line="280" w:lineRule="auto"/>
        <w:rPr>
          <w:sz w:val="20"/>
          <w:szCs w:val="20"/>
          <w:color w:val="auto"/>
        </w:rPr>
      </w:pPr>
      <w:r>
        <w:rPr>
          <w:rFonts w:ascii="Arial" w:cs="Arial" w:eastAsia="Arial" w:hAnsi="Arial"/>
          <w:sz w:val="18"/>
          <w:szCs w:val="18"/>
          <w:b w:val="1"/>
          <w:bCs w:val="1"/>
          <w:color w:val="auto"/>
        </w:rPr>
        <w:t>(aaa)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Ten Percent Stockholder</w:t>
      </w:r>
      <w:r>
        <w:rPr>
          <w:rFonts w:ascii="Arial" w:cs="Arial" w:eastAsia="Arial" w:hAnsi="Arial"/>
          <w:sz w:val="18"/>
          <w:szCs w:val="18"/>
          <w:color w:val="auto"/>
        </w:rPr>
        <w:t>” means a person who Owns (or is deemed to Own pursuant to Section 424(d) of the Code) stock possessing</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ten percent of the total combined voting power of all classes of stock of the Company or any Affiliate.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578"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XHIBIT</w:t>
      </w:r>
      <w:r>
        <w:rPr>
          <w:rFonts w:ascii="Arial" w:cs="Arial" w:eastAsia="Arial" w:hAnsi="Arial"/>
          <w:sz w:val="18"/>
          <w:szCs w:val="18"/>
          <w:b w:val="1"/>
          <w:bCs w:val="1"/>
          <w:color w:val="auto"/>
        </w:rPr>
        <w:t xml:space="preserve"> 10.5</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2"/>
          <w:szCs w:val="12"/>
          <w:b w:val="1"/>
          <w:bCs w:val="1"/>
          <w:color w:val="auto"/>
        </w:rPr>
        <w:t>EM</w:t>
      </w:r>
      <w:r>
        <w:rPr>
          <w:rFonts w:ascii="Arial" w:cs="Arial" w:eastAsia="Arial" w:hAnsi="Arial"/>
          <w:sz w:val="18"/>
          <w:szCs w:val="18"/>
          <w:b w:val="1"/>
          <w:bCs w:val="1"/>
          <w:color w:val="auto"/>
        </w:rPr>
        <w:t>P</w:t>
      </w:r>
      <w:r>
        <w:rPr>
          <w:rFonts w:ascii="Arial" w:cs="Arial" w:eastAsia="Arial" w:hAnsi="Arial"/>
          <w:sz w:val="12"/>
          <w:szCs w:val="12"/>
          <w:b w:val="1"/>
          <w:bCs w:val="1"/>
          <w:color w:val="auto"/>
        </w:rPr>
        <w:t>HARM</w:t>
      </w:r>
      <w:r>
        <w:rPr>
          <w:rFonts w:ascii="Arial" w:cs="Arial" w:eastAsia="Arial" w:hAnsi="Arial"/>
          <w:sz w:val="18"/>
          <w:szCs w:val="18"/>
          <w:b w:val="1"/>
          <w:bCs w:val="1"/>
          <w:color w:val="auto"/>
        </w:rPr>
        <w:t>, I</w:t>
      </w:r>
      <w:r>
        <w:rPr>
          <w:rFonts w:ascii="Arial" w:cs="Arial" w:eastAsia="Arial" w:hAnsi="Arial"/>
          <w:sz w:val="12"/>
          <w:szCs w:val="12"/>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w:t>
      </w:r>
      <w:r>
        <w:rPr>
          <w:rFonts w:ascii="Arial" w:cs="Arial" w:eastAsia="Arial" w:hAnsi="Arial"/>
          <w:sz w:val="12"/>
          <w:szCs w:val="12"/>
          <w:b w:val="1"/>
          <w:bCs w:val="1"/>
          <w:color w:val="auto"/>
        </w:rPr>
        <w:t>MPLOYEE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LAN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DOPTED BY THE</w:t>
      </w:r>
      <w:r>
        <w:rPr>
          <w:rFonts w:ascii="Arial" w:cs="Arial" w:eastAsia="Arial" w:hAnsi="Arial"/>
          <w:sz w:val="18"/>
          <w:szCs w:val="18"/>
          <w:b w:val="1"/>
          <w:bCs w:val="1"/>
          <w:color w:val="auto"/>
        </w:rPr>
        <w:t xml:space="preserve"> B</w:t>
      </w:r>
      <w:r>
        <w:rPr>
          <w:rFonts w:ascii="Arial" w:cs="Arial" w:eastAsia="Arial" w:hAnsi="Arial"/>
          <w:sz w:val="12"/>
          <w:szCs w:val="12"/>
          <w:b w:val="1"/>
          <w:bCs w:val="1"/>
          <w:color w:val="auto"/>
        </w:rPr>
        <w:t>OARD OF</w:t>
      </w:r>
      <w:r>
        <w:rPr>
          <w:rFonts w:ascii="Arial" w:cs="Arial" w:eastAsia="Arial" w:hAnsi="Arial"/>
          <w:sz w:val="18"/>
          <w:szCs w:val="18"/>
          <w:b w:val="1"/>
          <w:bCs w:val="1"/>
          <w:color w:val="auto"/>
        </w:rPr>
        <w:t xml:space="preserve"> D</w:t>
      </w:r>
      <w:r>
        <w:rPr>
          <w:rFonts w:ascii="Arial" w:cs="Arial" w:eastAsia="Arial" w:hAnsi="Arial"/>
          <w:sz w:val="12"/>
          <w:szCs w:val="12"/>
          <w:b w:val="1"/>
          <w:bCs w:val="1"/>
          <w:color w:val="auto"/>
        </w:rPr>
        <w:t>IRECTORS</w:t>
      </w:r>
      <w:r>
        <w:rPr>
          <w:rFonts w:ascii="Arial" w:cs="Arial" w:eastAsia="Arial" w:hAnsi="Arial"/>
          <w:sz w:val="18"/>
          <w:szCs w:val="18"/>
          <w:b w:val="1"/>
          <w:bCs w:val="1"/>
          <w:color w:val="auto"/>
        </w:rPr>
        <w:t>: A</w:t>
      </w:r>
      <w:r>
        <w:rPr>
          <w:rFonts w:ascii="Arial" w:cs="Arial" w:eastAsia="Arial" w:hAnsi="Arial"/>
          <w:sz w:val="12"/>
          <w:szCs w:val="12"/>
          <w:b w:val="1"/>
          <w:bCs w:val="1"/>
          <w:color w:val="auto"/>
        </w:rPr>
        <w:t>PRIL</w:t>
      </w:r>
      <w:r>
        <w:rPr>
          <w:rFonts w:ascii="Arial" w:cs="Arial" w:eastAsia="Arial" w:hAnsi="Arial"/>
          <w:sz w:val="18"/>
          <w:szCs w:val="18"/>
          <w:b w:val="1"/>
          <w:bCs w:val="1"/>
          <w:color w:val="auto"/>
        </w:rPr>
        <w:t xml:space="preserve"> 29, 2021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PPROVED BY THE</w:t>
      </w:r>
      <w:r>
        <w:rPr>
          <w:rFonts w:ascii="Arial" w:cs="Arial" w:eastAsia="Arial" w:hAnsi="Arial"/>
          <w:sz w:val="18"/>
          <w:szCs w:val="18"/>
          <w:b w:val="1"/>
          <w:bCs w:val="1"/>
          <w:color w:val="auto"/>
        </w:rPr>
        <w:t xml:space="preserve"> S</w:t>
      </w:r>
      <w:r>
        <w:rPr>
          <w:rFonts w:ascii="Arial" w:cs="Arial" w:eastAsia="Arial" w:hAnsi="Arial"/>
          <w:sz w:val="12"/>
          <w:szCs w:val="12"/>
          <w:b w:val="1"/>
          <w:bCs w:val="1"/>
          <w:color w:val="auto"/>
        </w:rPr>
        <w:t>TOCKHOLDERS</w:t>
      </w:r>
      <w:r>
        <w:rPr>
          <w:rFonts w:ascii="Arial" w:cs="Arial" w:eastAsia="Arial" w:hAnsi="Arial"/>
          <w:sz w:val="18"/>
          <w:szCs w:val="18"/>
          <w:b w:val="1"/>
          <w:bCs w:val="1"/>
          <w:color w:val="auto"/>
        </w:rPr>
        <w:t>: J</w:t>
      </w:r>
      <w:r>
        <w:rPr>
          <w:rFonts w:ascii="Arial" w:cs="Arial" w:eastAsia="Arial" w:hAnsi="Arial"/>
          <w:sz w:val="12"/>
          <w:szCs w:val="12"/>
          <w:b w:val="1"/>
          <w:bCs w:val="1"/>
          <w:color w:val="auto"/>
        </w:rPr>
        <w:t>UNE</w:t>
      </w:r>
      <w:r>
        <w:rPr>
          <w:rFonts w:ascii="Arial" w:cs="Arial" w:eastAsia="Arial" w:hAnsi="Arial"/>
          <w:sz w:val="18"/>
          <w:szCs w:val="18"/>
          <w:b w:val="1"/>
          <w:bCs w:val="1"/>
          <w:color w:val="auto"/>
        </w:rPr>
        <w:t xml:space="preserve"> 17, 2021</w:t>
      </w:r>
    </w:p>
    <w:p>
      <w:pPr>
        <w:spacing w:after="0" w:line="204" w:lineRule="exact"/>
        <w:rPr>
          <w:sz w:val="20"/>
          <w:szCs w:val="20"/>
          <w:color w:val="auto"/>
        </w:rPr>
      </w:pPr>
    </w:p>
    <w:p>
      <w:pPr>
        <w:ind w:left="320" w:hanging="313"/>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General; Purpose.</w:t>
      </w:r>
    </w:p>
    <w:p>
      <w:pPr>
        <w:spacing w:after="0" w:line="226" w:lineRule="exact"/>
        <w:rPr>
          <w:rFonts w:ascii="Arial" w:cs="Arial" w:eastAsia="Arial" w:hAnsi="Arial"/>
          <w:sz w:val="18"/>
          <w:szCs w:val="18"/>
          <w:b w:val="1"/>
          <w:bCs w:val="1"/>
          <w:color w:val="auto"/>
        </w:rPr>
      </w:pPr>
    </w:p>
    <w:p>
      <w:pPr>
        <w:ind w:right="40" w:firstLine="652"/>
        <w:spacing w:after="0" w:line="258" w:lineRule="auto"/>
        <w:tabs>
          <w:tab w:leader="none" w:pos="103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The Plan provides a means by which Eligible Employees of the Company and certain Designated Companies may be given an opportunity to purchase shares of Common Stock. The Plan permits the Company to grant a series of Purchase Rights to Eligible Employees under an Employee Stock Purchase Plan. In addition, the Plan permits the Company to grant a series of Purchase Rights to Eligible Employees that do not meet the requirements of an Employee Stock Purchase Plan.</w:t>
      </w:r>
    </w:p>
    <w:p>
      <w:pPr>
        <w:spacing w:after="0" w:line="184" w:lineRule="exact"/>
        <w:rPr>
          <w:rFonts w:ascii="Arial" w:cs="Arial" w:eastAsia="Arial" w:hAnsi="Arial"/>
          <w:sz w:val="18"/>
          <w:szCs w:val="18"/>
          <w:b w:val="1"/>
          <w:bCs w:val="1"/>
          <w:color w:val="auto"/>
        </w:rPr>
      </w:pPr>
    </w:p>
    <w:p>
      <w:pPr>
        <w:ind w:right="100" w:firstLine="652"/>
        <w:spacing w:after="0" w:line="277" w:lineRule="auto"/>
        <w:tabs>
          <w:tab w:leader="none" w:pos="1040" w:val="left"/>
        </w:tabs>
        <w:numPr>
          <w:ilvl w:val="1"/>
          <w:numId w:val="111"/>
        </w:numPr>
        <w:rPr>
          <w:rFonts w:ascii="Arial" w:cs="Arial" w:eastAsia="Arial" w:hAnsi="Arial"/>
          <w:sz w:val="17"/>
          <w:szCs w:val="17"/>
          <w:b w:val="1"/>
          <w:bCs w:val="1"/>
          <w:color w:val="auto"/>
        </w:rPr>
      </w:pPr>
      <w:r>
        <w:rPr>
          <w:rFonts w:ascii="Arial" w:cs="Arial" w:eastAsia="Arial" w:hAnsi="Arial"/>
          <w:sz w:val="17"/>
          <w:szCs w:val="17"/>
          <w:color w:val="auto"/>
        </w:rPr>
        <w:t>The Plan includes two components: a 423 Component and a Non-423 Component. The Company intends (but makes no undertaking or representation to maintain) the 423 Component to qualify as an Employee Stock Purchase Plan. The provisions of the 423 Component, accordingly, will be construed in a manner that is consistent with the requirements of Section 423 of the Code. Except as otherwise provided in the Plan or determined by the Board, the Non-423 Component will operate and be administered in the same manner as the 423 Component.</w:t>
      </w:r>
    </w:p>
    <w:p>
      <w:pPr>
        <w:spacing w:after="0" w:line="172" w:lineRule="exact"/>
        <w:rPr>
          <w:rFonts w:ascii="Arial" w:cs="Arial" w:eastAsia="Arial" w:hAnsi="Arial"/>
          <w:sz w:val="17"/>
          <w:szCs w:val="17"/>
          <w:b w:val="1"/>
          <w:bCs w:val="1"/>
          <w:color w:val="auto"/>
        </w:rPr>
      </w:pPr>
    </w:p>
    <w:p>
      <w:pPr>
        <w:ind w:right="220" w:firstLine="652"/>
        <w:spacing w:after="0" w:line="305" w:lineRule="auto"/>
        <w:tabs>
          <w:tab w:leader="none" w:pos="1020" w:val="left"/>
        </w:tabs>
        <w:numPr>
          <w:ilvl w:val="1"/>
          <w:numId w:val="111"/>
        </w:numPr>
        <w:rPr>
          <w:rFonts w:ascii="Arial" w:cs="Arial" w:eastAsia="Arial" w:hAnsi="Arial"/>
          <w:sz w:val="17"/>
          <w:szCs w:val="17"/>
          <w:b w:val="1"/>
          <w:bCs w:val="1"/>
          <w:color w:val="auto"/>
        </w:rPr>
      </w:pPr>
      <w:r>
        <w:rPr>
          <w:rFonts w:ascii="Arial" w:cs="Arial" w:eastAsia="Arial" w:hAnsi="Arial"/>
          <w:sz w:val="17"/>
          <w:szCs w:val="17"/>
          <w:color w:val="auto"/>
        </w:rPr>
        <w:t>The Company, by means of the Plan, seeks to retain the services of Eligible Employees, to secure and retain the services of new Employees and to provide incentives for such persons to exert maximum efforts for the success of the Company and its Related Corporations.</w:t>
      </w:r>
    </w:p>
    <w:p>
      <w:pPr>
        <w:spacing w:after="0" w:line="144" w:lineRule="exact"/>
        <w:rPr>
          <w:rFonts w:ascii="Arial" w:cs="Arial" w:eastAsia="Arial" w:hAnsi="Arial"/>
          <w:sz w:val="17"/>
          <w:szCs w:val="17"/>
          <w:b w:val="1"/>
          <w:bCs w:val="1"/>
          <w:color w:val="auto"/>
        </w:rPr>
      </w:pPr>
    </w:p>
    <w:p>
      <w:pPr>
        <w:ind w:left="320" w:hanging="313"/>
        <w:spacing w:after="0"/>
        <w:tabs>
          <w:tab w:leader="none" w:pos="320" w:val="left"/>
        </w:tabs>
        <w:numPr>
          <w:ilvl w:val="0"/>
          <w:numId w:val="111"/>
        </w:numPr>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2"/>
          <w:szCs w:val="12"/>
          <w:b w:val="1"/>
          <w:bCs w:val="1"/>
          <w:color w:val="auto"/>
        </w:rPr>
        <w:t>DMINISTRATION</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ind w:right="40" w:firstLine="652"/>
        <w:spacing w:after="0" w:line="275" w:lineRule="auto"/>
        <w:tabs>
          <w:tab w:leader="none" w:pos="103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The Board or the Committee will administer the Plan. References herein to the Board shall be deemed to refer to the Committee except where context dictates otherwise.</w:t>
      </w:r>
    </w:p>
    <w:p>
      <w:pPr>
        <w:spacing w:after="0" w:line="170" w:lineRule="exact"/>
        <w:rPr>
          <w:rFonts w:ascii="Arial" w:cs="Arial" w:eastAsia="Arial" w:hAnsi="Arial"/>
          <w:sz w:val="18"/>
          <w:szCs w:val="18"/>
          <w:b w:val="1"/>
          <w:bCs w:val="1"/>
          <w:color w:val="auto"/>
        </w:rPr>
      </w:pPr>
    </w:p>
    <w:p>
      <w:pPr>
        <w:ind w:left="1040" w:hanging="388"/>
        <w:spacing w:after="0"/>
        <w:tabs>
          <w:tab w:leader="none" w:pos="1040" w:val="left"/>
        </w:tabs>
        <w:numPr>
          <w:ilvl w:val="1"/>
          <w:numId w:val="111"/>
        </w:numPr>
        <w:rPr>
          <w:rFonts w:ascii="Arial" w:cs="Arial" w:eastAsia="Arial" w:hAnsi="Arial"/>
          <w:sz w:val="18"/>
          <w:szCs w:val="18"/>
          <w:b w:val="1"/>
          <w:bCs w:val="1"/>
          <w:color w:val="auto"/>
        </w:rPr>
      </w:pPr>
      <w:r>
        <w:rPr>
          <w:rFonts w:ascii="Arial" w:cs="Arial" w:eastAsia="Arial" w:hAnsi="Arial"/>
          <w:sz w:val="18"/>
          <w:szCs w:val="18"/>
          <w:color w:val="auto"/>
        </w:rPr>
        <w:t>The Board will have the power, subject to, and within the limitations of, the express provisions of the Plan:</w:t>
      </w:r>
    </w:p>
    <w:p>
      <w:pPr>
        <w:spacing w:after="0" w:line="222" w:lineRule="exact"/>
        <w:rPr>
          <w:rFonts w:ascii="Arial" w:cs="Arial" w:eastAsia="Arial" w:hAnsi="Arial"/>
          <w:sz w:val="18"/>
          <w:szCs w:val="18"/>
          <w:b w:val="1"/>
          <w:bCs w:val="1"/>
          <w:color w:val="auto"/>
        </w:rPr>
      </w:pPr>
    </w:p>
    <w:p>
      <w:pPr>
        <w:ind w:left="1640" w:hanging="343"/>
        <w:spacing w:after="0"/>
        <w:tabs>
          <w:tab w:leader="none" w:pos="1640" w:val="left"/>
        </w:tabs>
        <w:numPr>
          <w:ilvl w:val="2"/>
          <w:numId w:val="111"/>
        </w:numPr>
        <w:rPr>
          <w:rFonts w:ascii="Arial" w:cs="Arial" w:eastAsia="Arial" w:hAnsi="Arial"/>
          <w:sz w:val="17"/>
          <w:szCs w:val="17"/>
          <w:b w:val="1"/>
          <w:bCs w:val="1"/>
          <w:color w:val="auto"/>
        </w:rPr>
      </w:pPr>
      <w:r>
        <w:rPr>
          <w:rFonts w:ascii="Arial" w:cs="Arial" w:eastAsia="Arial" w:hAnsi="Arial"/>
          <w:sz w:val="17"/>
          <w:szCs w:val="17"/>
          <w:color w:val="auto"/>
        </w:rPr>
        <w:t>To determine how and when Purchase Rights will be granted and the provisions of each Offering (which need not be identical).</w:t>
      </w:r>
    </w:p>
    <w:p>
      <w:pPr>
        <w:spacing w:after="0" w:line="234" w:lineRule="exact"/>
        <w:rPr>
          <w:rFonts w:ascii="Arial" w:cs="Arial" w:eastAsia="Arial" w:hAnsi="Arial"/>
          <w:sz w:val="17"/>
          <w:szCs w:val="17"/>
          <w:b w:val="1"/>
          <w:bCs w:val="1"/>
          <w:color w:val="auto"/>
        </w:rPr>
      </w:pPr>
    </w:p>
    <w:p>
      <w:pPr>
        <w:ind w:right="260" w:firstLine="1297"/>
        <w:spacing w:after="0" w:line="284" w:lineRule="auto"/>
        <w:tabs>
          <w:tab w:leader="none" w:pos="1685" w:val="left"/>
        </w:tabs>
        <w:numPr>
          <w:ilvl w:val="2"/>
          <w:numId w:val="111"/>
        </w:numPr>
        <w:rPr>
          <w:rFonts w:ascii="Arial" w:cs="Arial" w:eastAsia="Arial" w:hAnsi="Arial"/>
          <w:sz w:val="17"/>
          <w:szCs w:val="17"/>
          <w:b w:val="1"/>
          <w:bCs w:val="1"/>
          <w:color w:val="auto"/>
        </w:rPr>
      </w:pPr>
      <w:r>
        <w:rPr>
          <w:rFonts w:ascii="Arial" w:cs="Arial" w:eastAsia="Arial" w:hAnsi="Arial"/>
          <w:sz w:val="17"/>
          <w:szCs w:val="17"/>
          <w:color w:val="auto"/>
        </w:rPr>
        <w:t>To designate from time to time (A) which Related Corporations will be eligible to participate in the Plan as Designated 423 Corporations, (B) which Related Corporations or Affiliates will be eligible to participate in the Plan as Designated Non-423 Corporations, and (C) which Designated Companies will participate in each separate Offering (to the extent that the Company makes separate Offerings).</w:t>
      </w:r>
    </w:p>
    <w:p>
      <w:pPr>
        <w:spacing w:after="0" w:line="166" w:lineRule="exact"/>
        <w:rPr>
          <w:rFonts w:ascii="Arial" w:cs="Arial" w:eastAsia="Arial" w:hAnsi="Arial"/>
          <w:sz w:val="17"/>
          <w:szCs w:val="17"/>
          <w:b w:val="1"/>
          <w:bCs w:val="1"/>
          <w:color w:val="auto"/>
        </w:rPr>
      </w:pPr>
    </w:p>
    <w:p>
      <w:pPr>
        <w:ind w:right="440" w:firstLine="1297"/>
        <w:spacing w:after="0" w:line="262" w:lineRule="auto"/>
        <w:tabs>
          <w:tab w:leader="none" w:pos="1734" w:val="left"/>
        </w:tabs>
        <w:numPr>
          <w:ilvl w:val="2"/>
          <w:numId w:val="111"/>
        </w:numPr>
        <w:rPr>
          <w:rFonts w:ascii="Arial" w:cs="Arial" w:eastAsia="Arial" w:hAnsi="Arial"/>
          <w:sz w:val="18"/>
          <w:szCs w:val="18"/>
          <w:b w:val="1"/>
          <w:bCs w:val="1"/>
          <w:color w:val="auto"/>
        </w:rPr>
      </w:pPr>
      <w:r>
        <w:rPr>
          <w:rFonts w:ascii="Arial" w:cs="Arial" w:eastAsia="Arial" w:hAnsi="Arial"/>
          <w:sz w:val="18"/>
          <w:szCs w:val="18"/>
          <w:color w:val="auto"/>
        </w:rPr>
        <w:t>To construe and interpret the Plan and Purchase Rights, and to establish, amend and revoke rules and regulations for its administration. The Board, in the exercise of this power, may correct any defect, omission or inconsistency in the Plan, in a manner and to the extent it deems necessary or expedient to make the Plan fully effective.</w:t>
      </w:r>
    </w:p>
    <w:p>
      <w:pPr>
        <w:spacing w:after="0" w:line="182" w:lineRule="exact"/>
        <w:rPr>
          <w:rFonts w:ascii="Arial" w:cs="Arial" w:eastAsia="Arial" w:hAnsi="Arial"/>
          <w:sz w:val="18"/>
          <w:szCs w:val="18"/>
          <w:b w:val="1"/>
          <w:bCs w:val="1"/>
          <w:color w:val="auto"/>
        </w:rPr>
      </w:pPr>
    </w:p>
    <w:p>
      <w:pPr>
        <w:ind w:left="1740" w:hanging="443"/>
        <w:spacing w:after="0"/>
        <w:tabs>
          <w:tab w:leader="none" w:pos="1740" w:val="left"/>
        </w:tabs>
        <w:numPr>
          <w:ilvl w:val="2"/>
          <w:numId w:val="111"/>
        </w:numPr>
        <w:rPr>
          <w:rFonts w:ascii="Arial" w:cs="Arial" w:eastAsia="Arial" w:hAnsi="Arial"/>
          <w:sz w:val="18"/>
          <w:szCs w:val="18"/>
          <w:b w:val="1"/>
          <w:bCs w:val="1"/>
          <w:color w:val="auto"/>
        </w:rPr>
      </w:pPr>
      <w:r>
        <w:rPr>
          <w:rFonts w:ascii="Arial" w:cs="Arial" w:eastAsia="Arial" w:hAnsi="Arial"/>
          <w:sz w:val="18"/>
          <w:szCs w:val="18"/>
          <w:color w:val="auto"/>
        </w:rPr>
        <w:t>To settle all controversies regarding the Plan and Purchase Rights granted under the Plan.</w:t>
      </w:r>
    </w:p>
    <w:p>
      <w:pPr>
        <w:spacing w:after="0" w:line="222" w:lineRule="exact"/>
        <w:rPr>
          <w:rFonts w:ascii="Arial" w:cs="Arial" w:eastAsia="Arial" w:hAnsi="Arial"/>
          <w:sz w:val="18"/>
          <w:szCs w:val="18"/>
          <w:b w:val="1"/>
          <w:bCs w:val="1"/>
          <w:color w:val="auto"/>
        </w:rPr>
      </w:pPr>
    </w:p>
    <w:p>
      <w:pPr>
        <w:ind w:left="1680" w:hanging="383"/>
        <w:spacing w:after="0"/>
        <w:tabs>
          <w:tab w:leader="none" w:pos="1680" w:val="left"/>
        </w:tabs>
        <w:numPr>
          <w:ilvl w:val="2"/>
          <w:numId w:val="111"/>
        </w:numPr>
        <w:rPr>
          <w:rFonts w:ascii="Arial" w:cs="Arial" w:eastAsia="Arial" w:hAnsi="Arial"/>
          <w:sz w:val="18"/>
          <w:szCs w:val="18"/>
          <w:b w:val="1"/>
          <w:bCs w:val="1"/>
          <w:color w:val="auto"/>
        </w:rPr>
      </w:pPr>
      <w:r>
        <w:rPr>
          <w:rFonts w:ascii="Arial" w:cs="Arial" w:eastAsia="Arial" w:hAnsi="Arial"/>
          <w:sz w:val="18"/>
          <w:szCs w:val="18"/>
          <w:color w:val="auto"/>
        </w:rPr>
        <w:t>To suspend or terminate the Plan at any time as provided in Section 12.</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ind w:left="1733" w:hanging="443"/>
        <w:spacing w:after="0"/>
        <w:tabs>
          <w:tab w:leader="none" w:pos="1733" w:val="left"/>
        </w:tabs>
        <w:numPr>
          <w:ilvl w:val="2"/>
          <w:numId w:val="112"/>
        </w:numPr>
        <w:rPr>
          <w:rFonts w:ascii="Arial" w:cs="Arial" w:eastAsia="Arial" w:hAnsi="Arial"/>
          <w:sz w:val="18"/>
          <w:szCs w:val="18"/>
          <w:b w:val="1"/>
          <w:bCs w:val="1"/>
          <w:color w:val="auto"/>
        </w:rPr>
      </w:pPr>
      <w:r>
        <w:rPr>
          <w:rFonts w:ascii="Arial" w:cs="Arial" w:eastAsia="Arial" w:hAnsi="Arial"/>
          <w:sz w:val="18"/>
          <w:szCs w:val="18"/>
          <w:color w:val="auto"/>
        </w:rPr>
        <w:t>To amend the Plan at any time as provided in Section 12.</w:t>
      </w:r>
    </w:p>
    <w:p>
      <w:pPr>
        <w:spacing w:after="0" w:line="222" w:lineRule="exact"/>
        <w:rPr>
          <w:rFonts w:ascii="Arial" w:cs="Arial" w:eastAsia="Arial" w:hAnsi="Arial"/>
          <w:sz w:val="18"/>
          <w:szCs w:val="18"/>
          <w:b w:val="1"/>
          <w:bCs w:val="1"/>
          <w:color w:val="auto"/>
        </w:rPr>
      </w:pPr>
    </w:p>
    <w:p>
      <w:pPr>
        <w:ind w:left="-7" w:right="120" w:firstLine="1297"/>
        <w:spacing w:after="0" w:line="262" w:lineRule="auto"/>
        <w:tabs>
          <w:tab w:leader="none" w:pos="1770" w:val="left"/>
        </w:tabs>
        <w:numPr>
          <w:ilvl w:val="2"/>
          <w:numId w:val="112"/>
        </w:numPr>
        <w:rPr>
          <w:rFonts w:ascii="Arial" w:cs="Arial" w:eastAsia="Arial" w:hAnsi="Arial"/>
          <w:sz w:val="18"/>
          <w:szCs w:val="18"/>
          <w:b w:val="1"/>
          <w:bCs w:val="1"/>
          <w:color w:val="auto"/>
        </w:rPr>
      </w:pPr>
      <w:r>
        <w:rPr>
          <w:rFonts w:ascii="Arial" w:cs="Arial" w:eastAsia="Arial" w:hAnsi="Arial"/>
          <w:sz w:val="18"/>
          <w:szCs w:val="18"/>
          <w:color w:val="auto"/>
        </w:rPr>
        <w:t>Generally, to exercise such powers and to perform such acts as it deems necessary or expedient to promote the best interests of the Company and its Related Corporations and to carry out the intent that the Plan be treated as an Employee Stock Purchase Plan with respect to the 423 Component.</w:t>
      </w:r>
    </w:p>
    <w:p>
      <w:pPr>
        <w:spacing w:after="0" w:line="182" w:lineRule="exact"/>
        <w:rPr>
          <w:rFonts w:ascii="Arial" w:cs="Arial" w:eastAsia="Arial" w:hAnsi="Arial"/>
          <w:sz w:val="18"/>
          <w:szCs w:val="18"/>
          <w:b w:val="1"/>
          <w:bCs w:val="1"/>
          <w:color w:val="auto"/>
        </w:rPr>
      </w:pPr>
    </w:p>
    <w:p>
      <w:pPr>
        <w:ind w:left="-7" w:firstLine="1297"/>
        <w:spacing w:after="0" w:line="270" w:lineRule="auto"/>
        <w:tabs>
          <w:tab w:leader="none" w:pos="1816" w:val="left"/>
        </w:tabs>
        <w:numPr>
          <w:ilvl w:val="2"/>
          <w:numId w:val="112"/>
        </w:numPr>
        <w:rPr>
          <w:rFonts w:ascii="Arial" w:cs="Arial" w:eastAsia="Arial" w:hAnsi="Arial"/>
          <w:sz w:val="17"/>
          <w:szCs w:val="17"/>
          <w:b w:val="1"/>
          <w:bCs w:val="1"/>
          <w:color w:val="auto"/>
        </w:rPr>
      </w:pPr>
      <w:r>
        <w:rPr>
          <w:rFonts w:ascii="Arial" w:cs="Arial" w:eastAsia="Arial" w:hAnsi="Arial"/>
          <w:sz w:val="17"/>
          <w:szCs w:val="17"/>
          <w:color w:val="auto"/>
        </w:rPr>
        <w:t>To adopt such rules, procedures and sub-plans as are necessary or appropriate to permit or facilitate participation in the Plan by Employees who are foreign nationals or employed or located outside the United States. Without limiting the generality of, and consistent with, the foregoing, the Board specifically is authorized to adopt rules, procedures, and sub-plans regarding, without limitation, eligibility to participate in the Plan, the definition of eligible “earnings,” handling and making of Contributions, establishment of bank or trust accounts to hold Contributions, payment of interest, conversion of local currency, obligations to pay payroll tax, determination of beneficiary designation requirements, withholding procedures and handling of share issuances, any of which may vary according to applicable requirements, and which, if applicable to a Designated Non-423 Corporation, do not have to comply with the requirements of Section 423 of the Code.</w:t>
      </w:r>
    </w:p>
    <w:p>
      <w:pPr>
        <w:spacing w:after="0" w:line="180" w:lineRule="exact"/>
        <w:rPr>
          <w:rFonts w:ascii="Arial" w:cs="Arial" w:eastAsia="Arial" w:hAnsi="Arial"/>
          <w:sz w:val="17"/>
          <w:szCs w:val="17"/>
          <w:b w:val="1"/>
          <w:bCs w:val="1"/>
          <w:color w:val="auto"/>
        </w:rPr>
      </w:pPr>
    </w:p>
    <w:p>
      <w:pPr>
        <w:ind w:left="-7" w:right="40" w:firstLine="652"/>
        <w:spacing w:after="0" w:line="268" w:lineRule="auto"/>
        <w:tabs>
          <w:tab w:leader="none" w:pos="1012" w:val="left"/>
        </w:tabs>
        <w:numPr>
          <w:ilvl w:val="1"/>
          <w:numId w:val="113"/>
        </w:numPr>
        <w:rPr>
          <w:rFonts w:ascii="Arial" w:cs="Arial" w:eastAsia="Arial" w:hAnsi="Arial"/>
          <w:sz w:val="17"/>
          <w:szCs w:val="17"/>
          <w:b w:val="1"/>
          <w:bCs w:val="1"/>
          <w:color w:val="auto"/>
        </w:rPr>
      </w:pPr>
      <w:r>
        <w:rPr>
          <w:rFonts w:ascii="Arial" w:cs="Arial" w:eastAsia="Arial" w:hAnsi="Arial"/>
          <w:sz w:val="17"/>
          <w:szCs w:val="17"/>
          <w:color w:val="auto"/>
        </w:rPr>
        <w:t>The Board may delegate some or all of the administration of the Plan to a Committee or Committees. If administration is delegated to a Committee, the Committee will have, in connection with the administration of the Plan, the powers theretofore possessed by the Board that have been delegated to the Committee, including the power to delegate to a subcommittee any of the administrative powers the Committee is authorized to exercise (and references in this Plan to the Board will thereafter be to the Committee or subcommittee), subject, however, to such resolutions, not inconsistent with the provisions of the Plan, as may be adopted from time to time by the Board. Further, to the extent not prohibited by Applicable Law, the Board or Committee may, from time to time, delegate some or all of its authority under the Plan to one or more officers of the Company or other persons or groups of persons as it deems necessary, appropriate or advisable under conditions or limitations that it may set at or after the time of the delegation. The Board may retain the authority to concurrently administer the Plan with the Committee and may, at any time, revest in the Board some or all of the powers previously delegated. Whether or not the Board has delegated administration of the Plan to a Committee, the Board will have the final power to determine all questions of policy and expediency that may arise in the administration of the Plan.</w:t>
      </w:r>
    </w:p>
    <w:p>
      <w:pPr>
        <w:spacing w:after="0" w:line="182" w:lineRule="exact"/>
        <w:rPr>
          <w:rFonts w:ascii="Arial" w:cs="Arial" w:eastAsia="Arial" w:hAnsi="Arial"/>
          <w:sz w:val="17"/>
          <w:szCs w:val="17"/>
          <w:b w:val="1"/>
          <w:bCs w:val="1"/>
          <w:color w:val="auto"/>
        </w:rPr>
      </w:pPr>
    </w:p>
    <w:p>
      <w:pPr>
        <w:ind w:left="-7" w:right="100" w:firstLine="652"/>
        <w:spacing w:after="0" w:line="275" w:lineRule="auto"/>
        <w:tabs>
          <w:tab w:leader="none" w:pos="1026" w:val="left"/>
        </w:tabs>
        <w:numPr>
          <w:ilvl w:val="1"/>
          <w:numId w:val="113"/>
        </w:numPr>
        <w:rPr>
          <w:rFonts w:ascii="Arial" w:cs="Arial" w:eastAsia="Arial" w:hAnsi="Arial"/>
          <w:sz w:val="18"/>
          <w:szCs w:val="18"/>
          <w:b w:val="1"/>
          <w:bCs w:val="1"/>
          <w:color w:val="auto"/>
        </w:rPr>
      </w:pPr>
      <w:r>
        <w:rPr>
          <w:rFonts w:ascii="Arial" w:cs="Arial" w:eastAsia="Arial" w:hAnsi="Arial"/>
          <w:sz w:val="18"/>
          <w:szCs w:val="18"/>
          <w:color w:val="auto"/>
        </w:rPr>
        <w:t>All determinations, interpretations and constructions made by the Board in good faith will not be subject to review by any person and will be final, binding and conclusive on all persons.</w:t>
      </w:r>
    </w:p>
    <w:p>
      <w:pPr>
        <w:spacing w:after="0" w:line="166" w:lineRule="exact"/>
        <w:rPr>
          <w:rFonts w:ascii="Arial" w:cs="Arial" w:eastAsia="Arial" w:hAnsi="Arial"/>
          <w:sz w:val="18"/>
          <w:szCs w:val="18"/>
          <w:b w:val="1"/>
          <w:bCs w:val="1"/>
          <w:color w:val="auto"/>
        </w:rPr>
      </w:pPr>
    </w:p>
    <w:p>
      <w:pPr>
        <w:ind w:left="313" w:hanging="313"/>
        <w:spacing w:after="0"/>
        <w:tabs>
          <w:tab w:leader="none" w:pos="313"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Shares of Common Stock Subject to the Plan.</w:t>
      </w:r>
    </w:p>
    <w:p>
      <w:pPr>
        <w:spacing w:after="0" w:line="226" w:lineRule="exact"/>
        <w:rPr>
          <w:rFonts w:ascii="Arial" w:cs="Arial" w:eastAsia="Arial" w:hAnsi="Arial"/>
          <w:sz w:val="18"/>
          <w:szCs w:val="18"/>
          <w:b w:val="1"/>
          <w:bCs w:val="1"/>
          <w:color w:val="auto"/>
        </w:rPr>
      </w:pPr>
    </w:p>
    <w:p>
      <w:pPr>
        <w:jc w:val="both"/>
        <w:ind w:left="-7" w:right="60" w:firstLine="652"/>
        <w:spacing w:after="0" w:line="277" w:lineRule="auto"/>
        <w:tabs>
          <w:tab w:leader="none" w:pos="1025" w:val="left"/>
        </w:tabs>
        <w:numPr>
          <w:ilvl w:val="1"/>
          <w:numId w:val="114"/>
        </w:numPr>
        <w:rPr>
          <w:rFonts w:ascii="Arial" w:cs="Arial" w:eastAsia="Arial" w:hAnsi="Arial"/>
          <w:sz w:val="17"/>
          <w:szCs w:val="17"/>
          <w:b w:val="1"/>
          <w:bCs w:val="1"/>
          <w:color w:val="auto"/>
        </w:rPr>
      </w:pPr>
      <w:r>
        <w:rPr>
          <w:rFonts w:ascii="Arial" w:cs="Arial" w:eastAsia="Arial" w:hAnsi="Arial"/>
          <w:sz w:val="17"/>
          <w:szCs w:val="17"/>
          <w:color w:val="auto"/>
        </w:rPr>
        <w:t>Subject to the provisions of Section 11(a) relating to Capitalization Adjustments, the maximum number of shares of Common Stock that may be issued under the Plan will not exceed 1,500,000 shares of Common Stock. For the avoidance of doubt, up to the maximum number of shares of Common Stock reserved under this Section 3(a) may be used to satisfy purchases of Common Stock under the 423 Component and any remaining portion of such maximum number of shares may be used to satisfy purchases of Common Stock under the Non-423 Component.</w:t>
      </w:r>
    </w:p>
    <w:p>
      <w:pPr>
        <w:spacing w:after="0" w:line="172" w:lineRule="exact"/>
        <w:rPr>
          <w:rFonts w:ascii="Arial" w:cs="Arial" w:eastAsia="Arial" w:hAnsi="Arial"/>
          <w:sz w:val="17"/>
          <w:szCs w:val="17"/>
          <w:b w:val="1"/>
          <w:bCs w:val="1"/>
          <w:color w:val="auto"/>
        </w:rPr>
      </w:pPr>
    </w:p>
    <w:p>
      <w:pPr>
        <w:ind w:left="-7" w:right="280" w:firstLine="652"/>
        <w:spacing w:after="0" w:line="275" w:lineRule="auto"/>
        <w:tabs>
          <w:tab w:leader="none" w:pos="1036" w:val="left"/>
        </w:tabs>
        <w:numPr>
          <w:ilvl w:val="1"/>
          <w:numId w:val="114"/>
        </w:numPr>
        <w:rPr>
          <w:rFonts w:ascii="Arial" w:cs="Arial" w:eastAsia="Arial" w:hAnsi="Arial"/>
          <w:sz w:val="18"/>
          <w:szCs w:val="18"/>
          <w:b w:val="1"/>
          <w:bCs w:val="1"/>
          <w:color w:val="auto"/>
        </w:rPr>
      </w:pPr>
      <w:r>
        <w:rPr>
          <w:rFonts w:ascii="Arial" w:cs="Arial" w:eastAsia="Arial" w:hAnsi="Arial"/>
          <w:sz w:val="18"/>
          <w:szCs w:val="18"/>
          <w:color w:val="auto"/>
        </w:rPr>
        <w:t>If any Purchase Right granted under the Plan terminates without having been exercised in full, the shares of Common Stock not purchased under such Purchase Right will again become available for issuance under the Plan.</w:t>
      </w:r>
    </w:p>
    <w:p>
      <w:pPr>
        <w:spacing w:after="0" w:line="171"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582" w:right="339" w:bottom="1440" w:gutter="0" w:footer="0" w:header="0"/>
        </w:sectPr>
      </w:pPr>
    </w:p>
    <w:bookmarkStart w:id="143" w:name="page144"/>
    <w:bookmarkEnd w:id="143"/>
    <w:p>
      <w:pPr>
        <w:ind w:left="-7" w:firstLine="652"/>
        <w:spacing w:after="0" w:line="275" w:lineRule="auto"/>
        <w:tabs>
          <w:tab w:leader="none" w:pos="1012" w:val="left"/>
        </w:tabs>
        <w:numPr>
          <w:ilvl w:val="1"/>
          <w:numId w:val="115"/>
        </w:numPr>
        <w:rPr>
          <w:rFonts w:ascii="Arial" w:cs="Arial" w:eastAsia="Arial" w:hAnsi="Arial"/>
          <w:sz w:val="18"/>
          <w:szCs w:val="18"/>
          <w:b w:val="1"/>
          <w:bCs w:val="1"/>
          <w:color w:val="auto"/>
        </w:rPr>
      </w:pPr>
      <w:r>
        <w:rPr>
          <w:rFonts w:ascii="Arial" w:cs="Arial" w:eastAsia="Arial" w:hAnsi="Arial"/>
          <w:sz w:val="18"/>
          <w:szCs w:val="18"/>
          <w:color w:val="auto"/>
        </w:rPr>
        <w:t>The stock purchasable under the Plan will be shares of authorized but unissued or reacquired Common Stock, including shares repurchased by the Company on the open market.</w:t>
      </w:r>
    </w:p>
    <w:p>
      <w:pPr>
        <w:spacing w:after="0" w:line="166" w:lineRule="exact"/>
        <w:rPr>
          <w:rFonts w:ascii="Arial" w:cs="Arial" w:eastAsia="Arial" w:hAnsi="Arial"/>
          <w:sz w:val="18"/>
          <w:szCs w:val="18"/>
          <w:b w:val="1"/>
          <w:bCs w:val="1"/>
          <w:color w:val="auto"/>
        </w:rPr>
      </w:pPr>
    </w:p>
    <w:p>
      <w:pPr>
        <w:ind w:left="313" w:hanging="313"/>
        <w:spacing w:after="0"/>
        <w:tabs>
          <w:tab w:leader="none" w:pos="31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Grant of Purchase Rights; Offering.</w:t>
      </w:r>
    </w:p>
    <w:p>
      <w:pPr>
        <w:spacing w:after="0" w:line="226" w:lineRule="exact"/>
        <w:rPr>
          <w:rFonts w:ascii="Arial" w:cs="Arial" w:eastAsia="Arial" w:hAnsi="Arial"/>
          <w:sz w:val="18"/>
          <w:szCs w:val="18"/>
          <w:b w:val="1"/>
          <w:bCs w:val="1"/>
          <w:color w:val="auto"/>
        </w:rPr>
      </w:pPr>
    </w:p>
    <w:p>
      <w:pPr>
        <w:ind w:left="-7" w:right="20" w:firstLine="652"/>
        <w:spacing w:after="0" w:line="253" w:lineRule="auto"/>
        <w:tabs>
          <w:tab w:leader="none" w:pos="1022"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The Board may from time to time grant or provide for the grant of Purchase Rights to Eligible Employees under an Offering (consisting of one or more Purchase Periods) on an Offering Date or Offering Dates selected by the Board. Each Offering will be in such form and will contain such terms and conditions as the Board will deem appropriate, and, with respect to the 423 Component, will comply with the requirement of Section 423(b)(5) of the Code that all Employees granted Purchase Rights will have the same rights and privileges. The terms and conditions of an Offering shall be incorporated by reference into the Plan and treated as part of the Plan. The provisions of separate Offerings need not be identical, but each Offering will include (through incorporation of the provisions of this Plan by reference in the document comprising the Offering or otherwise) the period during which the Offering will be effective, which period will not exceed 27 months beginning with the Offering Date, and the substance of the provisions contained in Sections 5 through 8, inclusive.</w:t>
      </w:r>
    </w:p>
    <w:p>
      <w:pPr>
        <w:spacing w:after="0" w:line="189" w:lineRule="exact"/>
        <w:rPr>
          <w:rFonts w:ascii="Arial" w:cs="Arial" w:eastAsia="Arial" w:hAnsi="Arial"/>
          <w:sz w:val="18"/>
          <w:szCs w:val="18"/>
          <w:b w:val="1"/>
          <w:bCs w:val="1"/>
          <w:color w:val="auto"/>
        </w:rPr>
      </w:pPr>
    </w:p>
    <w:p>
      <w:pPr>
        <w:ind w:left="-7" w:right="40" w:firstLine="652"/>
        <w:spacing w:after="0" w:line="255" w:lineRule="auto"/>
        <w:tabs>
          <w:tab w:leader="none" w:pos="1036"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If a Participant has more than one Purchase Right outstanding under the Plan, unless he or she otherwise indicates in forms delivered to the Company or a third party designated by the Company (each, a “</w:t>
      </w:r>
      <w:r>
        <w:rPr>
          <w:rFonts w:ascii="Arial" w:cs="Arial" w:eastAsia="Arial" w:hAnsi="Arial"/>
          <w:sz w:val="18"/>
          <w:szCs w:val="18"/>
          <w:b w:val="1"/>
          <w:bCs w:val="1"/>
          <w:i w:val="1"/>
          <w:iCs w:val="1"/>
          <w:color w:val="auto"/>
        </w:rPr>
        <w:t>Company Designee</w:t>
      </w:r>
      <w:r>
        <w:rPr>
          <w:rFonts w:ascii="Arial" w:cs="Arial" w:eastAsia="Arial" w:hAnsi="Arial"/>
          <w:sz w:val="18"/>
          <w:szCs w:val="18"/>
          <w:color w:val="auto"/>
        </w:rPr>
        <w:t>”): (i) each form will apply to all of his or her Purchase Rights under the Plan, and (ii) a Purchase Right with a lower exercise price (or an earlier-granted Purchase Right, if different Purchase Rights have identical exercise prices) will be exercised to the fullest possible extent before a Purchase Right with a higher exercise price (or a later-granted Purchase Right if different Purchase Rights have identical exercise prices) will be exercised.</w:t>
      </w:r>
    </w:p>
    <w:p>
      <w:pPr>
        <w:spacing w:after="0" w:line="190" w:lineRule="exact"/>
        <w:rPr>
          <w:rFonts w:ascii="Arial" w:cs="Arial" w:eastAsia="Arial" w:hAnsi="Arial"/>
          <w:sz w:val="18"/>
          <w:szCs w:val="18"/>
          <w:b w:val="1"/>
          <w:bCs w:val="1"/>
          <w:color w:val="auto"/>
        </w:rPr>
      </w:pPr>
    </w:p>
    <w:p>
      <w:pPr>
        <w:jc w:val="both"/>
        <w:ind w:left="-7" w:right="120" w:firstLine="652"/>
        <w:spacing w:after="0" w:line="258" w:lineRule="auto"/>
        <w:tabs>
          <w:tab w:leader="none" w:pos="1012" w:val="left"/>
        </w:tabs>
        <w:numPr>
          <w:ilvl w:val="1"/>
          <w:numId w:val="116"/>
        </w:numPr>
        <w:rPr>
          <w:rFonts w:ascii="Arial" w:cs="Arial" w:eastAsia="Arial" w:hAnsi="Arial"/>
          <w:sz w:val="18"/>
          <w:szCs w:val="18"/>
          <w:b w:val="1"/>
          <w:bCs w:val="1"/>
          <w:color w:val="auto"/>
        </w:rPr>
      </w:pPr>
      <w:r>
        <w:rPr>
          <w:rFonts w:ascii="Arial" w:cs="Arial" w:eastAsia="Arial" w:hAnsi="Arial"/>
          <w:sz w:val="18"/>
          <w:szCs w:val="18"/>
          <w:color w:val="auto"/>
        </w:rPr>
        <w:t>The Board will have the discretion to structure an Offering so that if the Fair Market Value of a share of Common Stock on the first Trading Day of a new Purchase Period within that Offering is less than or equal to the Fair Market Value of a share of Common Stock on the Offering Date for that Offering, then (i) that Offering will terminate immediately as of that first Trading Day, and (ii) the Participants in such terminated Offering will be automatically enrolled in a new Offering beginning on the first Trading Day of such new Purchase Period.</w:t>
      </w:r>
    </w:p>
    <w:p>
      <w:pPr>
        <w:spacing w:after="0" w:line="180" w:lineRule="exact"/>
        <w:rPr>
          <w:rFonts w:ascii="Arial" w:cs="Arial" w:eastAsia="Arial" w:hAnsi="Arial"/>
          <w:sz w:val="18"/>
          <w:szCs w:val="18"/>
          <w:b w:val="1"/>
          <w:bCs w:val="1"/>
          <w:color w:val="auto"/>
        </w:rPr>
      </w:pPr>
    </w:p>
    <w:p>
      <w:pPr>
        <w:ind w:left="313" w:hanging="313"/>
        <w:spacing w:after="0"/>
        <w:tabs>
          <w:tab w:leader="none" w:pos="313" w:val="left"/>
        </w:tabs>
        <w:numPr>
          <w:ilvl w:val="0"/>
          <w:numId w:val="116"/>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LIGIBILITY</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ind w:left="-7" w:right="60" w:firstLine="652"/>
        <w:spacing w:after="0" w:line="268" w:lineRule="auto"/>
        <w:tabs>
          <w:tab w:leader="none" w:pos="1025" w:val="left"/>
        </w:tabs>
        <w:numPr>
          <w:ilvl w:val="1"/>
          <w:numId w:val="116"/>
        </w:numPr>
        <w:rPr>
          <w:rFonts w:ascii="Arial" w:cs="Arial" w:eastAsia="Arial" w:hAnsi="Arial"/>
          <w:sz w:val="17"/>
          <w:szCs w:val="17"/>
          <w:b w:val="1"/>
          <w:bCs w:val="1"/>
          <w:color w:val="auto"/>
        </w:rPr>
      </w:pPr>
      <w:r>
        <w:rPr>
          <w:rFonts w:ascii="Arial" w:cs="Arial" w:eastAsia="Arial" w:hAnsi="Arial"/>
          <w:sz w:val="17"/>
          <w:szCs w:val="17"/>
          <w:color w:val="auto"/>
        </w:rPr>
        <w:t>Purchase Rights may be granted only to Employees of the Company or, as the Board may designate in accordance with Section 2(b), to Employees of a Related Corporation or an Affiliate. Except as provided in Section 5(b) or as required by Applicable Law, an Employee will not be eligible to be granted Purchase Rights unless, on the Offering Date, the Employee has been in the employ of the Company, a Related Corporation or an Affiliate, as the case may be, for such continuous period preceding such Offering Date as the Board may require, but in no event will the required period of continuous employment be equal to or greater than two years. In addition, the Board may (unless prohibited by Applicable Law) provide that no Employee will be eligible to be granted Purchase Rights under the Plan unless, on the Offering Date, such Employee’s customary employment with the Company, the Related Corporation, or the Affiliate is more than 20 hours per week and more than five months per calendar year or such other criteria as the Board may determine consistent with Section 423 of the Code with respect to the 423 Component. The Board may also exclude from participation in the Plan or any Offering Employees who are "highly compensated employees" (within the meaning of Section 423(b)(4)(D) of the Code) of the Company or a Related Corporation or a subset of such highly compensated employees.</w:t>
      </w:r>
    </w:p>
    <w:p>
      <w:pPr>
        <w:spacing w:after="0" w:line="182"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9">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3"/>
          </w:cols>
          <w:pgMar w:left="327" w:top="582" w:right="359" w:bottom="1440" w:gutter="0" w:footer="0" w:header="0"/>
        </w:sectPr>
      </w:pPr>
    </w:p>
    <w:bookmarkStart w:id="144" w:name="page145"/>
    <w:bookmarkEnd w:id="144"/>
    <w:p>
      <w:pPr>
        <w:ind w:right="100" w:firstLine="652"/>
        <w:spacing w:after="0" w:line="277" w:lineRule="auto"/>
        <w:tabs>
          <w:tab w:leader="none" w:pos="1040" w:val="left"/>
        </w:tabs>
        <w:numPr>
          <w:ilvl w:val="1"/>
          <w:numId w:val="117"/>
        </w:numPr>
        <w:rPr>
          <w:rFonts w:ascii="Arial" w:cs="Arial" w:eastAsia="Arial" w:hAnsi="Arial"/>
          <w:sz w:val="17"/>
          <w:szCs w:val="17"/>
          <w:b w:val="1"/>
          <w:bCs w:val="1"/>
          <w:color w:val="auto"/>
        </w:rPr>
      </w:pPr>
      <w:r>
        <w:rPr>
          <w:rFonts w:ascii="Arial" w:cs="Arial" w:eastAsia="Arial" w:hAnsi="Arial"/>
          <w:sz w:val="17"/>
          <w:szCs w:val="17"/>
          <w:color w:val="auto"/>
        </w:rPr>
        <w:t>The Board may provide that each person who, during the course of an Offering, first becomes an Eligible Employee will, on a date or dates specified in the Offering which coincides with the day on which such person becomes an Eligible Employee or which occurs thereafter, receive a Purchase Right under that Offering, which Purchase Right will thereafter be deemed to be a part of that Offering. Such Purchase Right will have the same characteristics as any Purchase Rights originally granted under that Offering, as described herein, except that:</w:t>
      </w:r>
    </w:p>
    <w:p>
      <w:pPr>
        <w:spacing w:after="0" w:line="172" w:lineRule="exact"/>
        <w:rPr>
          <w:rFonts w:ascii="Arial" w:cs="Arial" w:eastAsia="Arial" w:hAnsi="Arial"/>
          <w:sz w:val="17"/>
          <w:szCs w:val="17"/>
          <w:b w:val="1"/>
          <w:bCs w:val="1"/>
          <w:color w:val="auto"/>
        </w:rPr>
      </w:pPr>
    </w:p>
    <w:p>
      <w:pPr>
        <w:ind w:right="400" w:firstLine="1297"/>
        <w:spacing w:after="0" w:line="275" w:lineRule="auto"/>
        <w:tabs>
          <w:tab w:leader="none" w:pos="1638"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the date on which such Purchase Right is granted will be the “Offering Date” of such Purchase Right for all purposes, including determination of the exercise price of such Purchase Right;</w:t>
      </w:r>
    </w:p>
    <w:p>
      <w:pPr>
        <w:spacing w:after="0" w:line="170" w:lineRule="exact"/>
        <w:rPr>
          <w:rFonts w:ascii="Arial" w:cs="Arial" w:eastAsia="Arial" w:hAnsi="Arial"/>
          <w:sz w:val="18"/>
          <w:szCs w:val="18"/>
          <w:b w:val="1"/>
          <w:bCs w:val="1"/>
          <w:color w:val="auto"/>
        </w:rPr>
      </w:pPr>
    </w:p>
    <w:p>
      <w:pPr>
        <w:ind w:left="1700" w:hanging="403"/>
        <w:spacing w:after="0"/>
        <w:tabs>
          <w:tab w:leader="none" w:pos="1700" w:val="left"/>
        </w:tabs>
        <w:numPr>
          <w:ilvl w:val="2"/>
          <w:numId w:val="117"/>
        </w:numPr>
        <w:rPr>
          <w:rFonts w:ascii="Arial" w:cs="Arial" w:eastAsia="Arial" w:hAnsi="Arial"/>
          <w:sz w:val="16"/>
          <w:szCs w:val="16"/>
          <w:b w:val="1"/>
          <w:bCs w:val="1"/>
          <w:color w:val="auto"/>
        </w:rPr>
      </w:pPr>
      <w:r>
        <w:rPr>
          <w:rFonts w:ascii="Arial" w:cs="Arial" w:eastAsia="Arial" w:hAnsi="Arial"/>
          <w:sz w:val="16"/>
          <w:szCs w:val="16"/>
          <w:color w:val="auto"/>
        </w:rPr>
        <w:t>the period of the Offering with respect to such Purchase Right will begin on its Offering Date and end coincident with the end of</w:t>
      </w:r>
    </w:p>
    <w:p>
      <w:pPr>
        <w:spacing w:after="0" w:line="45" w:lineRule="exact"/>
        <w:rPr>
          <w:rFonts w:ascii="Arial" w:cs="Arial" w:eastAsia="Arial" w:hAnsi="Arial"/>
          <w:sz w:val="16"/>
          <w:szCs w:val="16"/>
          <w:b w:val="1"/>
          <w:bCs w:val="1"/>
          <w:color w:val="auto"/>
        </w:rPr>
      </w:pPr>
    </w:p>
    <w:p>
      <w:pPr>
        <w:spacing w:after="0"/>
        <w:rPr>
          <w:rFonts w:ascii="Arial" w:cs="Arial" w:eastAsia="Arial" w:hAnsi="Arial"/>
          <w:sz w:val="16"/>
          <w:szCs w:val="16"/>
          <w:b w:val="1"/>
          <w:bCs w:val="1"/>
          <w:color w:val="auto"/>
        </w:rPr>
      </w:pPr>
      <w:r>
        <w:rPr>
          <w:rFonts w:ascii="Arial" w:cs="Arial" w:eastAsia="Arial" w:hAnsi="Arial"/>
          <w:sz w:val="18"/>
          <w:szCs w:val="18"/>
          <w:color w:val="auto"/>
        </w:rPr>
        <w:t>such Offering; and</w:t>
      </w:r>
    </w:p>
    <w:p>
      <w:pPr>
        <w:spacing w:after="0" w:line="208" w:lineRule="exact"/>
        <w:rPr>
          <w:rFonts w:ascii="Arial" w:cs="Arial" w:eastAsia="Arial" w:hAnsi="Arial"/>
          <w:sz w:val="16"/>
          <w:szCs w:val="16"/>
          <w:b w:val="1"/>
          <w:bCs w:val="1"/>
          <w:color w:val="auto"/>
        </w:rPr>
      </w:pPr>
    </w:p>
    <w:p>
      <w:pPr>
        <w:ind w:right="200" w:firstLine="1297"/>
        <w:spacing w:after="0" w:line="275" w:lineRule="auto"/>
        <w:tabs>
          <w:tab w:leader="none" w:pos="1738" w:val="left"/>
        </w:tabs>
        <w:numPr>
          <w:ilvl w:val="2"/>
          <w:numId w:val="117"/>
        </w:numPr>
        <w:rPr>
          <w:rFonts w:ascii="Arial" w:cs="Arial" w:eastAsia="Arial" w:hAnsi="Arial"/>
          <w:sz w:val="18"/>
          <w:szCs w:val="18"/>
          <w:b w:val="1"/>
          <w:bCs w:val="1"/>
          <w:color w:val="auto"/>
        </w:rPr>
      </w:pPr>
      <w:r>
        <w:rPr>
          <w:rFonts w:ascii="Arial" w:cs="Arial" w:eastAsia="Arial" w:hAnsi="Arial"/>
          <w:sz w:val="18"/>
          <w:szCs w:val="18"/>
          <w:color w:val="auto"/>
        </w:rPr>
        <w:t>the Board may provide that if such person first becomes an Eligible Employee within a specified period of time before the end of the Offering, he or she will not receive any Purchase Right under that Offering.</w:t>
      </w:r>
    </w:p>
    <w:p>
      <w:pPr>
        <w:spacing w:after="0" w:line="170" w:lineRule="exact"/>
        <w:rPr>
          <w:rFonts w:ascii="Arial" w:cs="Arial" w:eastAsia="Arial" w:hAnsi="Arial"/>
          <w:sz w:val="18"/>
          <w:szCs w:val="18"/>
          <w:b w:val="1"/>
          <w:bCs w:val="1"/>
          <w:color w:val="auto"/>
        </w:rPr>
      </w:pPr>
    </w:p>
    <w:p>
      <w:pPr>
        <w:ind w:right="80" w:firstLine="652"/>
        <w:spacing w:after="0" w:line="255" w:lineRule="auto"/>
        <w:tabs>
          <w:tab w:leader="none" w:pos="1023"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No Employee will be eligible for the grant of any Purchase Rights under the 423 Component if, immediately after any such Purchase Rights are granted, such Employee owns stock possessing five percent or more of the total combined voting power or value of all classes of stock of the Company or of any Related Corporation. For purposes of this Section 5(c), the rules of Section 424(d) of the Code will apply in determining the stock ownership of any Employee, and stock which such Employee may purchase under all outstanding Purchase Rights and options will be treated as stock owned by such Employee.</w:t>
      </w:r>
    </w:p>
    <w:p>
      <w:pPr>
        <w:spacing w:after="0" w:line="190" w:lineRule="exact"/>
        <w:rPr>
          <w:rFonts w:ascii="Arial" w:cs="Arial" w:eastAsia="Arial" w:hAnsi="Arial"/>
          <w:sz w:val="18"/>
          <w:szCs w:val="18"/>
          <w:b w:val="1"/>
          <w:bCs w:val="1"/>
          <w:color w:val="auto"/>
        </w:rPr>
      </w:pPr>
    </w:p>
    <w:p>
      <w:pPr>
        <w:ind w:firstLine="652"/>
        <w:spacing w:after="0" w:line="274" w:lineRule="auto"/>
        <w:tabs>
          <w:tab w:leader="none" w:pos="1033" w:val="left"/>
        </w:tabs>
        <w:numPr>
          <w:ilvl w:val="1"/>
          <w:numId w:val="117"/>
        </w:numPr>
        <w:rPr>
          <w:rFonts w:ascii="Arial" w:cs="Arial" w:eastAsia="Arial" w:hAnsi="Arial"/>
          <w:sz w:val="17"/>
          <w:szCs w:val="17"/>
          <w:b w:val="1"/>
          <w:bCs w:val="1"/>
          <w:color w:val="auto"/>
        </w:rPr>
      </w:pPr>
      <w:r>
        <w:rPr>
          <w:rFonts w:ascii="Arial" w:cs="Arial" w:eastAsia="Arial" w:hAnsi="Arial"/>
          <w:sz w:val="17"/>
          <w:szCs w:val="17"/>
          <w:color w:val="auto"/>
        </w:rPr>
        <w:t>As specified by Section 423(b)(8) of the Code, an Eligible Employee may be granted Purchase Rights under the 423 Component only if such Purchase Rights, together with any other rights granted under all Employee Stock Purchase Plans of the Company and any Related Corporations, do not permit such Eligible Employee’s rights to purchase stock of the Company or any Related Corporation to accrue at a rate which, when aggregated, exceeds US $25,000 of Fair Market Value of such stock (determined at the time such rights are granted, and which, with respect to the Plan, will be determined as of their respective Offering Dates) for each calendar year in which such rights are outstanding at any time.</w:t>
      </w:r>
    </w:p>
    <w:p>
      <w:pPr>
        <w:spacing w:after="0" w:line="174" w:lineRule="exact"/>
        <w:rPr>
          <w:rFonts w:ascii="Arial" w:cs="Arial" w:eastAsia="Arial" w:hAnsi="Arial"/>
          <w:sz w:val="17"/>
          <w:szCs w:val="17"/>
          <w:b w:val="1"/>
          <w:bCs w:val="1"/>
          <w:color w:val="auto"/>
        </w:rPr>
      </w:pPr>
    </w:p>
    <w:p>
      <w:pPr>
        <w:ind w:firstLine="652"/>
        <w:spacing w:after="0" w:line="262" w:lineRule="auto"/>
        <w:tabs>
          <w:tab w:leader="none" w:pos="1023"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Officers of the Company and any Designated Company, if they are otherwise Eligible Employees, will be eligible to participate in Offerings under the Plan. Notwithstanding the foregoing, the Board may (unless prohibited by Applicable Law) provide in an Offering that Employees who are highly compensated Employees within the meaning of Section 423(b)(4)(D) of the Code will not be eligible to participate.</w:t>
      </w:r>
    </w:p>
    <w:p>
      <w:pPr>
        <w:spacing w:after="0" w:line="182" w:lineRule="exact"/>
        <w:rPr>
          <w:rFonts w:ascii="Arial" w:cs="Arial" w:eastAsia="Arial" w:hAnsi="Arial"/>
          <w:sz w:val="18"/>
          <w:szCs w:val="18"/>
          <w:b w:val="1"/>
          <w:bCs w:val="1"/>
          <w:color w:val="auto"/>
        </w:rPr>
      </w:pPr>
    </w:p>
    <w:p>
      <w:pPr>
        <w:ind w:right="220" w:firstLine="652"/>
        <w:spacing w:after="0" w:line="262" w:lineRule="auto"/>
        <w:tabs>
          <w:tab w:leader="none" w:pos="1003" w:val="left"/>
        </w:tabs>
        <w:numPr>
          <w:ilvl w:val="1"/>
          <w:numId w:val="117"/>
        </w:numPr>
        <w:rPr>
          <w:rFonts w:ascii="Arial" w:cs="Arial" w:eastAsia="Arial" w:hAnsi="Arial"/>
          <w:sz w:val="18"/>
          <w:szCs w:val="18"/>
          <w:b w:val="1"/>
          <w:bCs w:val="1"/>
          <w:color w:val="auto"/>
        </w:rPr>
      </w:pPr>
      <w:r>
        <w:rPr>
          <w:rFonts w:ascii="Arial" w:cs="Arial" w:eastAsia="Arial" w:hAnsi="Arial"/>
          <w:sz w:val="18"/>
          <w:szCs w:val="18"/>
          <w:color w:val="auto"/>
        </w:rPr>
        <w:t>Notwithstanding anything in this Section 5 to the contrary, in the case of an Offering under the Non-423 Component, an Eligible Employee (or group of Eligible Employees) may be excluded from participation in the Plan or an Offering if the Board has determined, in its sole discretion, that participation of such Eligible Employee(s) is not advisable or practical for any reason.</w:t>
      </w:r>
    </w:p>
    <w:p>
      <w:pPr>
        <w:spacing w:after="0" w:line="178" w:lineRule="exact"/>
        <w:rPr>
          <w:rFonts w:ascii="Arial" w:cs="Arial" w:eastAsia="Arial" w:hAnsi="Arial"/>
          <w:sz w:val="18"/>
          <w:szCs w:val="18"/>
          <w:b w:val="1"/>
          <w:bCs w:val="1"/>
          <w:color w:val="auto"/>
        </w:rPr>
      </w:pPr>
    </w:p>
    <w:p>
      <w:pPr>
        <w:ind w:left="320" w:hanging="313"/>
        <w:spacing w:after="0"/>
        <w:tabs>
          <w:tab w:leader="none" w:pos="320" w:val="left"/>
        </w:tabs>
        <w:numPr>
          <w:ilvl w:val="0"/>
          <w:numId w:val="118"/>
        </w:numPr>
        <w:rPr>
          <w:rFonts w:ascii="Arial" w:cs="Arial" w:eastAsia="Arial" w:hAnsi="Arial"/>
          <w:sz w:val="18"/>
          <w:szCs w:val="18"/>
          <w:b w:val="1"/>
          <w:bCs w:val="1"/>
          <w:color w:val="auto"/>
        </w:rPr>
      </w:pPr>
      <w:r>
        <w:rPr>
          <w:rFonts w:ascii="Arial" w:cs="Arial" w:eastAsia="Arial" w:hAnsi="Arial"/>
          <w:sz w:val="18"/>
          <w:szCs w:val="18"/>
          <w:b w:val="1"/>
          <w:bCs w:val="1"/>
          <w:color w:val="auto"/>
        </w:rPr>
        <w:t>Purchase Rights; Purchase Price.</w:t>
      </w:r>
    </w:p>
    <w:p>
      <w:pPr>
        <w:spacing w:after="0" w:line="226" w:lineRule="exact"/>
        <w:rPr>
          <w:rFonts w:ascii="Arial" w:cs="Arial" w:eastAsia="Arial" w:hAnsi="Arial"/>
          <w:sz w:val="18"/>
          <w:szCs w:val="18"/>
          <w:b w:val="1"/>
          <w:bCs w:val="1"/>
          <w:color w:val="auto"/>
        </w:rPr>
      </w:pPr>
    </w:p>
    <w:p>
      <w:pPr>
        <w:jc w:val="both"/>
        <w:ind w:right="60" w:firstLine="652"/>
        <w:spacing w:after="0" w:line="258" w:lineRule="auto"/>
        <w:tabs>
          <w:tab w:leader="none" w:pos="1033" w:val="left"/>
        </w:tabs>
        <w:numPr>
          <w:ilvl w:val="1"/>
          <w:numId w:val="118"/>
        </w:numPr>
        <w:rPr>
          <w:rFonts w:ascii="Arial" w:cs="Arial" w:eastAsia="Arial" w:hAnsi="Arial"/>
          <w:sz w:val="18"/>
          <w:szCs w:val="18"/>
          <w:b w:val="1"/>
          <w:bCs w:val="1"/>
          <w:color w:val="auto"/>
        </w:rPr>
      </w:pPr>
      <w:r>
        <w:rPr>
          <w:rFonts w:ascii="Arial" w:cs="Arial" w:eastAsia="Arial" w:hAnsi="Arial"/>
          <w:sz w:val="18"/>
          <w:szCs w:val="18"/>
          <w:color w:val="auto"/>
        </w:rPr>
        <w:t>On each Offering Date, each Eligible Employee, pursuant to an Offering made under the Plan, will be granted a Purchase Right to purchase up to that number of shares of Common Stock purchasable either with a percentage or with a maximum dollar amount, as designated by the Board, during the period that begins on the Offering Date (or such later date as the Board determines for a particular Offering) and ends on the date stated in the Offering, which date will be no later than the end of the Offering.</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0">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00"/>
          </w:cols>
          <w:pgMar w:left="320" w:top="582" w:right="379" w:bottom="1440" w:gutter="0" w:footer="0" w:header="0"/>
        </w:sectPr>
      </w:pPr>
    </w:p>
    <w:bookmarkStart w:id="145" w:name="page146"/>
    <w:bookmarkEnd w:id="145"/>
    <w:p>
      <w:pPr>
        <w:ind w:left="-7" w:firstLine="652"/>
        <w:spacing w:after="0" w:line="275" w:lineRule="auto"/>
        <w:tabs>
          <w:tab w:leader="none" w:pos="1032"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The Board will establish one or more Purchase Dates during an Offering on which Purchase Rights granted for that Offering will be exercised and shares of Common Stock will be purchased in accordance with such Offering.</w:t>
      </w:r>
    </w:p>
    <w:p>
      <w:pPr>
        <w:spacing w:after="0" w:line="170" w:lineRule="exact"/>
        <w:rPr>
          <w:rFonts w:ascii="Arial" w:cs="Arial" w:eastAsia="Arial" w:hAnsi="Arial"/>
          <w:sz w:val="18"/>
          <w:szCs w:val="18"/>
          <w:b w:val="1"/>
          <w:bCs w:val="1"/>
          <w:color w:val="auto"/>
        </w:rPr>
      </w:pPr>
    </w:p>
    <w:p>
      <w:pPr>
        <w:ind w:left="-7" w:right="80" w:firstLine="652"/>
        <w:spacing w:after="0" w:line="270" w:lineRule="auto"/>
        <w:tabs>
          <w:tab w:leader="none" w:pos="1015" w:val="left"/>
        </w:tabs>
        <w:numPr>
          <w:ilvl w:val="1"/>
          <w:numId w:val="119"/>
        </w:numPr>
        <w:rPr>
          <w:rFonts w:ascii="Arial" w:cs="Arial" w:eastAsia="Arial" w:hAnsi="Arial"/>
          <w:sz w:val="17"/>
          <w:szCs w:val="17"/>
          <w:b w:val="1"/>
          <w:bCs w:val="1"/>
          <w:color w:val="auto"/>
        </w:rPr>
      </w:pPr>
      <w:r>
        <w:rPr>
          <w:rFonts w:ascii="Arial" w:cs="Arial" w:eastAsia="Arial" w:hAnsi="Arial"/>
          <w:sz w:val="17"/>
          <w:szCs w:val="17"/>
          <w:color w:val="auto"/>
        </w:rPr>
        <w:t>In connection with each Offering made under the Plan, the Board may specify (i) a maximum number of shares of Common Stock that may be purchased by any Participant on any Purchase Date during such Offering, (ii) a maximum aggregate number of shares of Common Stock that may be purchased by all Participants pursuant to such Offering and/or (iii) a maximum aggregate number of shares of Common Stock that may be purchased by all Participants on any Purchase Date under the Offering. If the aggregate purchase of shares of Common Stock issuable upon exercise of Purchase Rights granted under the Offering would exceed any such maximum aggregate number, then, in the absence of any Board action otherwise, a pro rata (based on each Participant’s accumulated Contributions) allocation of the shares of Common Stock (rounded down to the nearest whole share) available will be made in as nearly a uniform manner as will be practicable and equitable.</w:t>
      </w:r>
    </w:p>
    <w:p>
      <w:pPr>
        <w:spacing w:after="0" w:line="180" w:lineRule="exact"/>
        <w:rPr>
          <w:rFonts w:ascii="Arial" w:cs="Arial" w:eastAsia="Arial" w:hAnsi="Arial"/>
          <w:sz w:val="17"/>
          <w:szCs w:val="17"/>
          <w:b w:val="1"/>
          <w:bCs w:val="1"/>
          <w:color w:val="auto"/>
        </w:rPr>
      </w:pPr>
    </w:p>
    <w:p>
      <w:pPr>
        <w:ind w:left="-7" w:right="100" w:firstLine="652"/>
        <w:spacing w:after="0" w:line="275" w:lineRule="auto"/>
        <w:tabs>
          <w:tab w:leader="none" w:pos="1032" w:val="left"/>
        </w:tabs>
        <w:numPr>
          <w:ilvl w:val="1"/>
          <w:numId w:val="119"/>
        </w:numPr>
        <w:rPr>
          <w:rFonts w:ascii="Arial" w:cs="Arial" w:eastAsia="Arial" w:hAnsi="Arial"/>
          <w:sz w:val="18"/>
          <w:szCs w:val="18"/>
          <w:b w:val="1"/>
          <w:bCs w:val="1"/>
          <w:color w:val="auto"/>
        </w:rPr>
      </w:pPr>
      <w:r>
        <w:rPr>
          <w:rFonts w:ascii="Arial" w:cs="Arial" w:eastAsia="Arial" w:hAnsi="Arial"/>
          <w:sz w:val="18"/>
          <w:szCs w:val="18"/>
          <w:color w:val="auto"/>
        </w:rPr>
        <w:t>The purchase price of shares of Common Stock acquired pursuant to Purchase Rights will be specified by Board prior to the commencement of an Offering and will not be less than the lesser of:</w:t>
      </w:r>
    </w:p>
    <w:p>
      <w:pPr>
        <w:spacing w:after="0" w:line="170" w:lineRule="exact"/>
        <w:rPr>
          <w:rFonts w:ascii="Arial" w:cs="Arial" w:eastAsia="Arial" w:hAnsi="Arial"/>
          <w:sz w:val="18"/>
          <w:szCs w:val="18"/>
          <w:b w:val="1"/>
          <w:bCs w:val="1"/>
          <w:color w:val="auto"/>
        </w:rPr>
      </w:pPr>
    </w:p>
    <w:p>
      <w:pPr>
        <w:ind w:left="1633" w:hanging="343"/>
        <w:spacing w:after="0"/>
        <w:tabs>
          <w:tab w:leader="none" w:pos="1633"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Offering Date; or</w:t>
      </w:r>
    </w:p>
    <w:p>
      <w:pPr>
        <w:spacing w:after="0" w:line="222" w:lineRule="exact"/>
        <w:rPr>
          <w:rFonts w:ascii="Arial" w:cs="Arial" w:eastAsia="Arial" w:hAnsi="Arial"/>
          <w:sz w:val="18"/>
          <w:szCs w:val="18"/>
          <w:b w:val="1"/>
          <w:bCs w:val="1"/>
          <w:color w:val="auto"/>
        </w:rPr>
      </w:pPr>
    </w:p>
    <w:p>
      <w:pPr>
        <w:ind w:left="1693" w:hanging="403"/>
        <w:spacing w:after="0"/>
        <w:tabs>
          <w:tab w:leader="none" w:pos="1693" w:val="left"/>
        </w:tabs>
        <w:numPr>
          <w:ilvl w:val="2"/>
          <w:numId w:val="119"/>
        </w:numPr>
        <w:rPr>
          <w:rFonts w:ascii="Arial" w:cs="Arial" w:eastAsia="Arial" w:hAnsi="Arial"/>
          <w:sz w:val="18"/>
          <w:szCs w:val="18"/>
          <w:b w:val="1"/>
          <w:bCs w:val="1"/>
          <w:color w:val="auto"/>
        </w:rPr>
      </w:pPr>
      <w:r>
        <w:rPr>
          <w:rFonts w:ascii="Arial" w:cs="Arial" w:eastAsia="Arial" w:hAnsi="Arial"/>
          <w:sz w:val="18"/>
          <w:szCs w:val="18"/>
          <w:color w:val="auto"/>
        </w:rPr>
        <w:t>an amount equal to 85% of the Fair Market Value of the shares of Common Stock on the applicable Purchase Date.</w:t>
      </w:r>
    </w:p>
    <w:p>
      <w:pPr>
        <w:spacing w:after="0" w:line="218" w:lineRule="exact"/>
        <w:rPr>
          <w:rFonts w:ascii="Arial" w:cs="Arial" w:eastAsia="Arial" w:hAnsi="Arial"/>
          <w:sz w:val="18"/>
          <w:szCs w:val="18"/>
          <w:b w:val="1"/>
          <w:bCs w:val="1"/>
          <w:color w:val="auto"/>
        </w:rPr>
      </w:pPr>
    </w:p>
    <w:p>
      <w:pPr>
        <w:ind w:left="313" w:hanging="313"/>
        <w:spacing w:after="0"/>
        <w:tabs>
          <w:tab w:leader="none" w:pos="313"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Participation; Withdrawal; Termination.</w:t>
      </w:r>
    </w:p>
    <w:p>
      <w:pPr>
        <w:spacing w:after="0" w:line="226" w:lineRule="exact"/>
        <w:rPr>
          <w:rFonts w:ascii="Arial" w:cs="Arial" w:eastAsia="Arial" w:hAnsi="Arial"/>
          <w:sz w:val="18"/>
          <w:szCs w:val="18"/>
          <w:b w:val="1"/>
          <w:bCs w:val="1"/>
          <w:color w:val="auto"/>
        </w:rPr>
      </w:pPr>
    </w:p>
    <w:p>
      <w:pPr>
        <w:ind w:left="-7" w:right="20" w:firstLine="652"/>
        <w:spacing w:after="0" w:line="287" w:lineRule="auto"/>
        <w:tabs>
          <w:tab w:leader="none" w:pos="1016" w:val="left"/>
        </w:tabs>
        <w:numPr>
          <w:ilvl w:val="1"/>
          <w:numId w:val="120"/>
        </w:numPr>
        <w:rPr>
          <w:rFonts w:ascii="Arial" w:cs="Arial" w:eastAsia="Arial" w:hAnsi="Arial"/>
          <w:sz w:val="16"/>
          <w:szCs w:val="16"/>
          <w:b w:val="1"/>
          <w:bCs w:val="1"/>
          <w:color w:val="auto"/>
        </w:rPr>
      </w:pPr>
      <w:r>
        <w:rPr>
          <w:rFonts w:ascii="Arial" w:cs="Arial" w:eastAsia="Arial" w:hAnsi="Arial"/>
          <w:sz w:val="16"/>
          <w:szCs w:val="16"/>
          <w:color w:val="auto"/>
        </w:rPr>
        <w:t>An Eligible Employee may elect to participate in an Offering and authorize payroll deductions as the means of making Contributions by completing and delivering to the Company or a Company Designee, within the time specified for the Offering, an enrollment form provided by the Company or Company Designee. The enrollment form will specify the amount of Contributions not to exceed the maximum amount specified by the Board. Each Participant’s Contributions will be credited to a bookkeeping account for such Participant under the Plan and will be deposited with the general funds of the Company except where Applicable Law requires that Contributions be deposited with a third party. If permitted in the Offering, a Participant may begin such Contributions with the first payroll occurring on or after the Offering Date (or, in the case of a payroll date that occurs after the end of the prior Offering but before the Offering Date of the next new Offering, Contributions from such payroll will be included in the new Offering). If permitted in the Offering, a Participant may thereafter reduce (including to zero) or increase his or her Contributions. If required under Applicable Law or if specifically provided in the Offering and to extent permitted by Section 423 of the Code with respect to the 423 Component, in addition to or instead of making Contributions by payroll deductions, a Participant may make Contributions through payment by cash, check or wire transfer prior to a Purchase Date.</w:t>
      </w:r>
    </w:p>
    <w:p>
      <w:pPr>
        <w:spacing w:after="0" w:line="164" w:lineRule="exact"/>
        <w:rPr>
          <w:rFonts w:ascii="Arial" w:cs="Arial" w:eastAsia="Arial" w:hAnsi="Arial"/>
          <w:sz w:val="16"/>
          <w:szCs w:val="16"/>
          <w:b w:val="1"/>
          <w:bCs w:val="1"/>
          <w:color w:val="auto"/>
        </w:rPr>
      </w:pPr>
    </w:p>
    <w:p>
      <w:pPr>
        <w:ind w:left="-7" w:right="120" w:firstLine="652"/>
        <w:spacing w:after="0" w:line="272" w:lineRule="auto"/>
        <w:tabs>
          <w:tab w:leader="none" w:pos="1036" w:val="left"/>
        </w:tabs>
        <w:numPr>
          <w:ilvl w:val="1"/>
          <w:numId w:val="120"/>
        </w:numPr>
        <w:rPr>
          <w:rFonts w:ascii="Arial" w:cs="Arial" w:eastAsia="Arial" w:hAnsi="Arial"/>
          <w:sz w:val="17"/>
          <w:szCs w:val="17"/>
          <w:b w:val="1"/>
          <w:bCs w:val="1"/>
          <w:color w:val="auto"/>
        </w:rPr>
      </w:pPr>
      <w:r>
        <w:rPr>
          <w:rFonts w:ascii="Arial" w:cs="Arial" w:eastAsia="Arial" w:hAnsi="Arial"/>
          <w:sz w:val="17"/>
          <w:szCs w:val="17"/>
          <w:color w:val="auto"/>
        </w:rPr>
        <w:t>During an Offering, a Participant may cease making Contributions and withdraw from the Offering by delivering to the Company or a Company Designee a withdrawal form provided by the Company. The Company may impose a deadline before a Purchase Date for withdrawing. Upon such withdrawal, such Participant’s Purchase Right in that Offering will immediately terminate and the Company will distribute as soon as practicable to such Participant all of his or her accumulated but unused Contributions and such Participant’s Purchase Right in that Offering shall thereupon terminate. A Participant’s withdrawal from that Offering will have no effect upon his or her eligibility to participate in any other Offerings under the Plan, but such Participant will be required to deliver a new enrollment form to participate in subsequent Offerings.</w:t>
      </w:r>
    </w:p>
    <w:p>
      <w:pPr>
        <w:spacing w:after="0" w:line="176" w:lineRule="exact"/>
        <w:rPr>
          <w:sz w:val="20"/>
          <w:szCs w:val="20"/>
          <w:color w:val="auto"/>
        </w:rPr>
      </w:pPr>
    </w:p>
    <w:p>
      <w:pPr>
        <w:jc w:val="center"/>
        <w:ind w:right="-32"/>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1">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13"/>
          </w:cols>
          <w:pgMar w:left="327" w:top="582" w:right="359" w:bottom="1440" w:gutter="0" w:footer="0" w:header="0"/>
        </w:sectPr>
      </w:pPr>
    </w:p>
    <w:bookmarkStart w:id="146" w:name="page147"/>
    <w:bookmarkEnd w:id="146"/>
    <w:p>
      <w:pPr>
        <w:ind w:left="-7" w:right="80" w:firstLine="652"/>
        <w:spacing w:after="0" w:line="258" w:lineRule="auto"/>
        <w:tabs>
          <w:tab w:leader="none" w:pos="1015"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Unless otherwise required by Applicable Law, Purchase Rights granted pursuant to any Offering under the Plan will terminate immediately if the Participant either (i) is no longer an Employee for any reason or for no reason (subject to any post-employment participation period required by Applicable Law) or (ii) is otherwise no longer eligible to participate. The Company will distribute as soon as practicable to such individual all of his or her accumulated but unused Contributions.</w:t>
      </w:r>
    </w:p>
    <w:p>
      <w:pPr>
        <w:spacing w:after="0" w:line="184" w:lineRule="exact"/>
        <w:rPr>
          <w:rFonts w:ascii="Arial" w:cs="Arial" w:eastAsia="Arial" w:hAnsi="Arial"/>
          <w:sz w:val="18"/>
          <w:szCs w:val="18"/>
          <w:b w:val="1"/>
          <w:bCs w:val="1"/>
          <w:color w:val="auto"/>
        </w:rPr>
      </w:pPr>
    </w:p>
    <w:p>
      <w:pPr>
        <w:ind w:left="-7" w:right="100" w:firstLine="652"/>
        <w:spacing w:after="0" w:line="269" w:lineRule="auto"/>
        <w:tabs>
          <w:tab w:leader="none" w:pos="1036" w:val="left"/>
        </w:tabs>
        <w:numPr>
          <w:ilvl w:val="1"/>
          <w:numId w:val="121"/>
        </w:numPr>
        <w:rPr>
          <w:rFonts w:ascii="Arial" w:cs="Arial" w:eastAsia="Arial" w:hAnsi="Arial"/>
          <w:sz w:val="17"/>
          <w:szCs w:val="17"/>
          <w:b w:val="1"/>
          <w:bCs w:val="1"/>
          <w:color w:val="auto"/>
        </w:rPr>
      </w:pPr>
      <w:r>
        <w:rPr>
          <w:rFonts w:ascii="Arial" w:cs="Arial" w:eastAsia="Arial" w:hAnsi="Arial"/>
          <w:sz w:val="17"/>
          <w:szCs w:val="17"/>
          <w:color w:val="auto"/>
        </w:rPr>
        <w:t>Unless otherwise determined by the Board, a Participant whose employment transfers or whose employment terminates with an immediate rehire (with no break in service) by or between the Company and a Designated Company or between Designated Companies will not be treated as having terminated employment for purposes of participating in the Plan or an Offering; however, if a Participant transfers from an Offering under the 423 Component to an Offering under the Non-423 Component, the exercise of the Participant’s Purchase Right will be qualified under the 423 Component only to the extent such exercise complies with Section 423 of the Code. If a Participant transfers from an Offering under the Non-423 Component to an Offering under the 423 Component, the exercise of the Purchase Right will remain non-qualified under the Non-423 Component. The Board may establish different and additional rules governing transfers between separate Offerings within the 423 Component and between Offerings under the 423 Component and Offerings under the Non-423 Component.</w:t>
      </w:r>
    </w:p>
    <w:p>
      <w:pPr>
        <w:spacing w:after="0" w:line="182" w:lineRule="exact"/>
        <w:rPr>
          <w:rFonts w:ascii="Arial" w:cs="Arial" w:eastAsia="Arial" w:hAnsi="Arial"/>
          <w:sz w:val="17"/>
          <w:szCs w:val="17"/>
          <w:b w:val="1"/>
          <w:bCs w:val="1"/>
          <w:color w:val="auto"/>
        </w:rPr>
      </w:pPr>
    </w:p>
    <w:p>
      <w:pPr>
        <w:ind w:left="-7" w:right="40" w:firstLine="652"/>
        <w:spacing w:after="0" w:line="339" w:lineRule="auto"/>
        <w:tabs>
          <w:tab w:leader="none" w:pos="1015" w:val="left"/>
        </w:tabs>
        <w:numPr>
          <w:ilvl w:val="1"/>
          <w:numId w:val="121"/>
        </w:numPr>
        <w:rPr>
          <w:rFonts w:ascii="Arial" w:cs="Arial" w:eastAsia="Arial" w:hAnsi="Arial"/>
          <w:sz w:val="16"/>
          <w:szCs w:val="16"/>
          <w:b w:val="1"/>
          <w:bCs w:val="1"/>
          <w:color w:val="auto"/>
        </w:rPr>
      </w:pPr>
      <w:r>
        <w:rPr>
          <w:rFonts w:ascii="Arial" w:cs="Arial" w:eastAsia="Arial" w:hAnsi="Arial"/>
          <w:sz w:val="16"/>
          <w:szCs w:val="16"/>
          <w:color w:val="auto"/>
        </w:rPr>
        <w:t>During a Participant’s lifetime, Purchase Rights will be exercisable only by such Participant. Purchase Rights are not transferable by a Participant, except by will, by the laws of descent and distribution, or, if permitted by the Company, by a beneficiary designation as described in Section 10.</w:t>
      </w:r>
    </w:p>
    <w:p>
      <w:pPr>
        <w:spacing w:after="0" w:line="125" w:lineRule="exact"/>
        <w:rPr>
          <w:rFonts w:ascii="Arial" w:cs="Arial" w:eastAsia="Arial" w:hAnsi="Arial"/>
          <w:sz w:val="16"/>
          <w:szCs w:val="16"/>
          <w:b w:val="1"/>
          <w:bCs w:val="1"/>
          <w:color w:val="auto"/>
        </w:rPr>
      </w:pPr>
    </w:p>
    <w:p>
      <w:pPr>
        <w:ind w:left="-7" w:right="740" w:firstLine="652"/>
        <w:spacing w:after="0" w:line="275" w:lineRule="auto"/>
        <w:tabs>
          <w:tab w:leader="none" w:pos="996" w:val="left"/>
        </w:tabs>
        <w:numPr>
          <w:ilvl w:val="1"/>
          <w:numId w:val="121"/>
        </w:numPr>
        <w:rPr>
          <w:rFonts w:ascii="Arial" w:cs="Arial" w:eastAsia="Arial" w:hAnsi="Arial"/>
          <w:sz w:val="18"/>
          <w:szCs w:val="18"/>
          <w:b w:val="1"/>
          <w:bCs w:val="1"/>
          <w:color w:val="auto"/>
        </w:rPr>
      </w:pPr>
      <w:r>
        <w:rPr>
          <w:rFonts w:ascii="Arial" w:cs="Arial" w:eastAsia="Arial" w:hAnsi="Arial"/>
          <w:sz w:val="18"/>
          <w:szCs w:val="18"/>
          <w:color w:val="auto"/>
        </w:rPr>
        <w:t>Unless otherwise specified in the Offering or as required by Applicable Law, the Company will have no obligation to pay interest on Contributions.</w:t>
      </w:r>
    </w:p>
    <w:p>
      <w:pPr>
        <w:spacing w:after="0" w:line="166" w:lineRule="exact"/>
        <w:rPr>
          <w:rFonts w:ascii="Arial" w:cs="Arial" w:eastAsia="Arial" w:hAnsi="Arial"/>
          <w:sz w:val="18"/>
          <w:szCs w:val="18"/>
          <w:b w:val="1"/>
          <w:bCs w:val="1"/>
          <w:color w:val="auto"/>
        </w:rPr>
      </w:pPr>
    </w:p>
    <w:p>
      <w:pPr>
        <w:ind w:left="313" w:hanging="313"/>
        <w:spacing w:after="0"/>
        <w:tabs>
          <w:tab w:leader="none" w:pos="313" w:val="left"/>
        </w:tabs>
        <w:numPr>
          <w:ilvl w:val="0"/>
          <w:numId w:val="122"/>
        </w:numPr>
        <w:rPr>
          <w:rFonts w:ascii="Arial" w:cs="Arial" w:eastAsia="Arial" w:hAnsi="Arial"/>
          <w:sz w:val="18"/>
          <w:szCs w:val="18"/>
          <w:b w:val="1"/>
          <w:bCs w:val="1"/>
          <w:color w:val="auto"/>
        </w:rPr>
      </w:pPr>
      <w:r>
        <w:rPr>
          <w:rFonts w:ascii="Arial" w:cs="Arial" w:eastAsia="Arial" w:hAnsi="Arial"/>
          <w:sz w:val="18"/>
          <w:szCs w:val="18"/>
          <w:b w:val="1"/>
          <w:bCs w:val="1"/>
          <w:color w:val="auto"/>
        </w:rPr>
        <w:t>E</w:t>
      </w:r>
      <w:r>
        <w:rPr>
          <w:rFonts w:ascii="Arial" w:cs="Arial" w:eastAsia="Arial" w:hAnsi="Arial"/>
          <w:sz w:val="12"/>
          <w:szCs w:val="12"/>
          <w:b w:val="1"/>
          <w:bCs w:val="1"/>
          <w:color w:val="auto"/>
        </w:rPr>
        <w:t>XERCISE OF</w:t>
      </w:r>
      <w:r>
        <w:rPr>
          <w:rFonts w:ascii="Arial" w:cs="Arial" w:eastAsia="Arial" w:hAnsi="Arial"/>
          <w:sz w:val="18"/>
          <w:szCs w:val="18"/>
          <w:b w:val="1"/>
          <w:bCs w:val="1"/>
          <w:color w:val="auto"/>
        </w:rPr>
        <w:t xml:space="preserve"> P</w:t>
      </w:r>
      <w:r>
        <w:rPr>
          <w:rFonts w:ascii="Arial" w:cs="Arial" w:eastAsia="Arial" w:hAnsi="Arial"/>
          <w:sz w:val="12"/>
          <w:szCs w:val="12"/>
          <w:b w:val="1"/>
          <w:bCs w:val="1"/>
          <w:color w:val="auto"/>
        </w:rPr>
        <w:t>URCHASE</w:t>
      </w:r>
      <w:r>
        <w:rPr>
          <w:rFonts w:ascii="Arial" w:cs="Arial" w:eastAsia="Arial" w:hAnsi="Arial"/>
          <w:sz w:val="18"/>
          <w:szCs w:val="18"/>
          <w:b w:val="1"/>
          <w:bCs w:val="1"/>
          <w:color w:val="auto"/>
        </w:rPr>
        <w:t xml:space="preserve"> R</w:t>
      </w:r>
      <w:r>
        <w:rPr>
          <w:rFonts w:ascii="Arial" w:cs="Arial" w:eastAsia="Arial" w:hAnsi="Arial"/>
          <w:sz w:val="12"/>
          <w:szCs w:val="12"/>
          <w:b w:val="1"/>
          <w:bCs w:val="1"/>
          <w:color w:val="auto"/>
        </w:rPr>
        <w:t>IGHTS</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ind w:left="-7" w:right="200" w:firstLine="652"/>
        <w:spacing w:after="0" w:line="262" w:lineRule="auto"/>
        <w:tabs>
          <w:tab w:leader="none" w:pos="1025" w:val="left"/>
        </w:tabs>
        <w:numPr>
          <w:ilvl w:val="1"/>
          <w:numId w:val="122"/>
        </w:numPr>
        <w:rPr>
          <w:rFonts w:ascii="Arial" w:cs="Arial" w:eastAsia="Arial" w:hAnsi="Arial"/>
          <w:sz w:val="18"/>
          <w:szCs w:val="18"/>
          <w:b w:val="1"/>
          <w:bCs w:val="1"/>
          <w:color w:val="auto"/>
        </w:rPr>
      </w:pPr>
      <w:r>
        <w:rPr>
          <w:rFonts w:ascii="Arial" w:cs="Arial" w:eastAsia="Arial" w:hAnsi="Arial"/>
          <w:sz w:val="18"/>
          <w:szCs w:val="18"/>
          <w:color w:val="auto"/>
        </w:rPr>
        <w:t>On each Purchase Date, each Participant’s accumulated Contributions will be applied to the purchase of shares of Common Stock, up to the maximum number of shares of Common Stock permitted by the Plan and the applicable Offering, at the purchase price specified in the Offering. No fractional shares will be issued unless specifically provided for in the Offering.</w:t>
      </w:r>
    </w:p>
    <w:p>
      <w:pPr>
        <w:spacing w:after="0" w:line="182" w:lineRule="exact"/>
        <w:rPr>
          <w:rFonts w:ascii="Arial" w:cs="Arial" w:eastAsia="Arial" w:hAnsi="Arial"/>
          <w:sz w:val="18"/>
          <w:szCs w:val="18"/>
          <w:b w:val="1"/>
          <w:bCs w:val="1"/>
          <w:color w:val="auto"/>
        </w:rPr>
      </w:pPr>
    </w:p>
    <w:p>
      <w:pPr>
        <w:ind w:left="-7" w:firstLine="652"/>
        <w:spacing w:after="0" w:line="310" w:lineRule="auto"/>
        <w:tabs>
          <w:tab w:leader="none" w:pos="1036" w:val="left"/>
        </w:tabs>
        <w:numPr>
          <w:ilvl w:val="1"/>
          <w:numId w:val="122"/>
        </w:numPr>
        <w:rPr>
          <w:rFonts w:ascii="Arial" w:cs="Arial" w:eastAsia="Arial" w:hAnsi="Arial"/>
          <w:sz w:val="16"/>
          <w:szCs w:val="16"/>
          <w:b w:val="1"/>
          <w:bCs w:val="1"/>
          <w:color w:val="auto"/>
        </w:rPr>
      </w:pPr>
      <w:r>
        <w:rPr>
          <w:rFonts w:ascii="Arial" w:cs="Arial" w:eastAsia="Arial" w:hAnsi="Arial"/>
          <w:sz w:val="16"/>
          <w:szCs w:val="16"/>
          <w:color w:val="auto"/>
        </w:rPr>
        <w:t>Unless otherwise provided in the Offering, if any amount of accumulated Contributions remains in a Participant’s account after the purchase of shares of Common Stock on the final Purchase Date of an Offering, then such remaining amount will not roll over to the next Offering and will instead be distributed in full to such Participant after the final Purchase Date of such Offering without interest (unless otherwise required by Applicable Law).</w:t>
      </w:r>
    </w:p>
    <w:p>
      <w:pPr>
        <w:spacing w:after="0" w:line="146" w:lineRule="exact"/>
        <w:rPr>
          <w:rFonts w:ascii="Arial" w:cs="Arial" w:eastAsia="Arial" w:hAnsi="Arial"/>
          <w:sz w:val="16"/>
          <w:szCs w:val="16"/>
          <w:b w:val="1"/>
          <w:bCs w:val="1"/>
          <w:color w:val="auto"/>
        </w:rPr>
      </w:pPr>
    </w:p>
    <w:p>
      <w:pPr>
        <w:ind w:left="-7" w:right="40" w:firstLine="652"/>
        <w:spacing w:after="0" w:line="287" w:lineRule="auto"/>
        <w:tabs>
          <w:tab w:leader="none" w:pos="1015" w:val="left"/>
        </w:tabs>
        <w:numPr>
          <w:ilvl w:val="1"/>
          <w:numId w:val="122"/>
        </w:numPr>
        <w:rPr>
          <w:rFonts w:ascii="Arial" w:cs="Arial" w:eastAsia="Arial" w:hAnsi="Arial"/>
          <w:sz w:val="16"/>
          <w:szCs w:val="16"/>
          <w:b w:val="1"/>
          <w:bCs w:val="1"/>
          <w:color w:val="auto"/>
        </w:rPr>
      </w:pPr>
      <w:r>
        <w:rPr>
          <w:rFonts w:ascii="Arial" w:cs="Arial" w:eastAsia="Arial" w:hAnsi="Arial"/>
          <w:sz w:val="16"/>
          <w:szCs w:val="16"/>
          <w:color w:val="auto"/>
        </w:rPr>
        <w:t>No Purchase Rights may be exercised to any extent unless the shares of Common Stock to be issued upon such exercise under the Plan are covered by an effective registration statement pursuant to the Securities Act and the Plan is in material compliance with all applicable U.S. federal and state, foreign and other securities, exchange control and other laws applicable to the Plan. If on a Purchase Date the shares of Common Stock are not so registered or the Plan is not in such compliance, no Purchase Rights will be exercised on such Purchase Date, and, subject to Section 423 of the Code with respect to the 423 Component, the Purchase Date will be delayed until the shares of Common Stock are subject to such an effective registration statement and the Plan is in material compliance, except that the Purchase Date will in no event be more than 27 months from the Offering Date. If, on the Purchase Date, as delayed to the maximum extent permissible, the shares of Common Stock are not registered and the Plan is not in material compliance with all Applicable Laws, as determined by the Company in its sole discretion, no Purchase Rights will be exercised and all accumulated but unused Contributions will be distributed to the Participants without interest (unless the payment of interest is otherwise required by Applicable Law).</w:t>
      </w:r>
    </w:p>
    <w:p>
      <w:pPr>
        <w:spacing w:after="0" w:line="170"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82550</wp:posOffset>
            </wp:positionV>
            <wp:extent cx="713295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7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33"/>
          </w:cols>
          <w:pgMar w:left="327" w:top="582" w:right="339" w:bottom="1440" w:gutter="0" w:footer="0" w:header="0"/>
        </w:sectPr>
      </w:pPr>
    </w:p>
    <w:bookmarkStart w:id="147" w:name="page148"/>
    <w:bookmarkEnd w:id="147"/>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6"/>
          <w:szCs w:val="16"/>
          <w:b w:val="1"/>
          <w:bCs w:val="1"/>
          <w:color w:val="auto"/>
        </w:rPr>
        <w:t>Covenants of the Company.</w:t>
      </w:r>
    </w:p>
    <w:p>
      <w:pPr>
        <w:spacing w:after="0" w:line="227" w:lineRule="exact"/>
        <w:rPr>
          <w:sz w:val="20"/>
          <w:szCs w:val="20"/>
          <w:color w:val="auto"/>
        </w:rPr>
      </w:pPr>
    </w:p>
    <w:p>
      <w:pPr>
        <w:jc w:val="both"/>
        <w:ind w:firstLine="645"/>
        <w:spacing w:after="0" w:line="292" w:lineRule="auto"/>
        <w:rPr>
          <w:sz w:val="20"/>
          <w:szCs w:val="20"/>
          <w:color w:val="auto"/>
        </w:rPr>
      </w:pPr>
      <w:r>
        <w:rPr>
          <w:rFonts w:ascii="Arial" w:cs="Arial" w:eastAsia="Arial" w:hAnsi="Arial"/>
          <w:sz w:val="16"/>
          <w:szCs w:val="16"/>
          <w:color w:val="auto"/>
        </w:rPr>
        <w:t>The Company will seek to obtain from each U.S. federal or state, foreign or other regulatory commission, agency or other Governmental Body having jurisdiction over the Plan such authority as may be required to grant Purchase Rights and issue and sell shares of Common Stock thereunder unless the Company determines, in its sole discretion, that doing so is not practical or would cause the Company to incur costs that are unreasonable. If, after commercially reasonable efforts, the Company is unable to obtain the authority that counsel for the Company deems necessary for the grant of Purchase Rights or the lawful issuance and sale of Common Stock under the Plan, and at a commercially reasonable cost, the Company will be relieved from any liability for failure to grant Purchase Rights and/or to issue and sell Common Stock upon exercise of such Purchase Rights.</w:t>
      </w:r>
    </w:p>
    <w:p>
      <w:pPr>
        <w:spacing w:after="0" w:line="158" w:lineRule="exact"/>
        <w:rPr>
          <w:sz w:val="20"/>
          <w:szCs w:val="20"/>
          <w:color w:val="auto"/>
        </w:rPr>
      </w:pPr>
    </w:p>
    <w:p>
      <w:pPr>
        <w:ind w:left="420" w:hanging="413"/>
        <w:spacing w:after="0"/>
        <w:tabs>
          <w:tab w:leader="none" w:pos="42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Designation of Beneficiary.</w:t>
      </w:r>
    </w:p>
    <w:p>
      <w:pPr>
        <w:spacing w:after="0" w:line="226" w:lineRule="exact"/>
        <w:rPr>
          <w:rFonts w:ascii="Arial" w:cs="Arial" w:eastAsia="Arial" w:hAnsi="Arial"/>
          <w:sz w:val="18"/>
          <w:szCs w:val="18"/>
          <w:b w:val="1"/>
          <w:bCs w:val="1"/>
          <w:color w:val="auto"/>
        </w:rPr>
      </w:pPr>
    </w:p>
    <w:p>
      <w:pPr>
        <w:ind w:right="380" w:firstLine="652"/>
        <w:spacing w:after="0" w:line="258" w:lineRule="auto"/>
        <w:tabs>
          <w:tab w:leader="none" w:pos="1030"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The Company may, but is not obligated to, permit a Participant to submit a form designating a beneficiary who will receive any shares of Common Stock and/or Contributions from the Participant’s account under the Plan if the Participant dies before such shares and/or Contributions are delivered to the Participant. The Company may, but is not obligated to, permit the Participant to change such designation of beneficiary. Any such designation and/or change must be on a form approved by the Company.</w:t>
      </w:r>
    </w:p>
    <w:p>
      <w:pPr>
        <w:spacing w:after="0" w:line="184" w:lineRule="exact"/>
        <w:rPr>
          <w:rFonts w:ascii="Arial" w:cs="Arial" w:eastAsia="Arial" w:hAnsi="Arial"/>
          <w:sz w:val="18"/>
          <w:szCs w:val="18"/>
          <w:b w:val="1"/>
          <w:bCs w:val="1"/>
          <w:color w:val="auto"/>
        </w:rPr>
      </w:pPr>
    </w:p>
    <w:p>
      <w:pPr>
        <w:ind w:right="80" w:firstLine="652"/>
        <w:spacing w:after="0" w:line="274" w:lineRule="auto"/>
        <w:tabs>
          <w:tab w:leader="none" w:pos="1088" w:val="left"/>
        </w:tabs>
        <w:numPr>
          <w:ilvl w:val="1"/>
          <w:numId w:val="123"/>
        </w:numPr>
        <w:rPr>
          <w:rFonts w:ascii="Arial" w:cs="Arial" w:eastAsia="Arial" w:hAnsi="Arial"/>
          <w:sz w:val="17"/>
          <w:szCs w:val="17"/>
          <w:b w:val="1"/>
          <w:bCs w:val="1"/>
          <w:color w:val="auto"/>
        </w:rPr>
      </w:pPr>
      <w:r>
        <w:rPr>
          <w:rFonts w:ascii="Arial" w:cs="Arial" w:eastAsia="Arial" w:hAnsi="Arial"/>
          <w:sz w:val="17"/>
          <w:szCs w:val="17"/>
          <w:color w:val="auto"/>
        </w:rPr>
        <w:t>If a Participant dies, and in the absence of a valid beneficiary designation, the Company will deliver any shares of Common Stock and/or Contributions to the executor or administrator of the estate of the Participant. If no executor or administrator has been appointed (to the knowledge of the Company), the Company, in its sole discretion, may deliver such shares of Common Stock and/or Contributions, without interest (unless the payment of interest is otherwise required by Applicable Law), to the Participant’s spouse, dependents or relatives, or if no spouse, dependent or relative is known to the Company, then to such other person as the Company may designate.</w:t>
      </w:r>
    </w:p>
    <w:p>
      <w:pPr>
        <w:spacing w:after="0" w:line="170" w:lineRule="exact"/>
        <w:rPr>
          <w:rFonts w:ascii="Arial" w:cs="Arial" w:eastAsia="Arial" w:hAnsi="Arial"/>
          <w:sz w:val="17"/>
          <w:szCs w:val="17"/>
          <w:b w:val="1"/>
          <w:bCs w:val="1"/>
          <w:color w:val="auto"/>
        </w:rPr>
      </w:pPr>
    </w:p>
    <w:p>
      <w:pPr>
        <w:ind w:left="400" w:hanging="393"/>
        <w:spacing w:after="0"/>
        <w:tabs>
          <w:tab w:leader="none" w:pos="4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upon Changes in Common Stock; Corporate Transactions.</w:t>
      </w:r>
    </w:p>
    <w:p>
      <w:pPr>
        <w:spacing w:after="0" w:line="226" w:lineRule="exact"/>
        <w:rPr>
          <w:rFonts w:ascii="Arial" w:cs="Arial" w:eastAsia="Arial" w:hAnsi="Arial"/>
          <w:sz w:val="18"/>
          <w:szCs w:val="18"/>
          <w:b w:val="1"/>
          <w:bCs w:val="1"/>
          <w:color w:val="auto"/>
        </w:rPr>
      </w:pPr>
    </w:p>
    <w:p>
      <w:pPr>
        <w:ind w:right="20" w:firstLine="652"/>
        <w:spacing w:after="0" w:line="274" w:lineRule="auto"/>
        <w:tabs>
          <w:tab w:leader="none" w:pos="1033" w:val="left"/>
        </w:tabs>
        <w:numPr>
          <w:ilvl w:val="1"/>
          <w:numId w:val="123"/>
        </w:numPr>
        <w:rPr>
          <w:rFonts w:ascii="Arial" w:cs="Arial" w:eastAsia="Arial" w:hAnsi="Arial"/>
          <w:sz w:val="17"/>
          <w:szCs w:val="17"/>
          <w:b w:val="1"/>
          <w:bCs w:val="1"/>
          <w:color w:val="auto"/>
        </w:rPr>
      </w:pPr>
      <w:r>
        <w:rPr>
          <w:rFonts w:ascii="Arial" w:cs="Arial" w:eastAsia="Arial" w:hAnsi="Arial"/>
          <w:sz w:val="17"/>
          <w:szCs w:val="17"/>
          <w:color w:val="auto"/>
        </w:rPr>
        <w:t>In the event of a Capitalization Adjustment, the Board will appropriately and proportionately adjust: (i) the class(es) and maximum number of securities subject to the Plan pursuant to Section 3(a), (ii) the class(es) and maximum number of securities by which the share reserve is to increase automatically each year pursuant to Section 3(a), (iii) the class(es) and number of securities subject to, and the purchase price applicable to outstanding Offerings and Purchase Rights, and (iv) the class(es) and number of securities that are the subject of the purchase limits under each ongoing Offering. The Board will make these adjustments, and its determination will be final, binding and conclusive.</w:t>
      </w:r>
    </w:p>
    <w:p>
      <w:pPr>
        <w:spacing w:after="0" w:line="174" w:lineRule="exact"/>
        <w:rPr>
          <w:rFonts w:ascii="Arial" w:cs="Arial" w:eastAsia="Arial" w:hAnsi="Arial"/>
          <w:sz w:val="17"/>
          <w:szCs w:val="17"/>
          <w:b w:val="1"/>
          <w:bCs w:val="1"/>
          <w:color w:val="auto"/>
        </w:rPr>
      </w:pPr>
    </w:p>
    <w:p>
      <w:pPr>
        <w:ind w:right="100" w:firstLine="652"/>
        <w:spacing w:after="0" w:line="253" w:lineRule="auto"/>
        <w:tabs>
          <w:tab w:leader="none" w:pos="1043" w:val="left"/>
        </w:tabs>
        <w:numPr>
          <w:ilvl w:val="1"/>
          <w:numId w:val="123"/>
        </w:numPr>
        <w:rPr>
          <w:rFonts w:ascii="Arial" w:cs="Arial" w:eastAsia="Arial" w:hAnsi="Arial"/>
          <w:sz w:val="18"/>
          <w:szCs w:val="18"/>
          <w:b w:val="1"/>
          <w:bCs w:val="1"/>
          <w:color w:val="auto"/>
        </w:rPr>
      </w:pPr>
      <w:r>
        <w:rPr>
          <w:rFonts w:ascii="Arial" w:cs="Arial" w:eastAsia="Arial" w:hAnsi="Arial"/>
          <w:sz w:val="18"/>
          <w:szCs w:val="18"/>
          <w:color w:val="auto"/>
        </w:rPr>
        <w:t>In the event of a Corporate Transaction, then: (i) any surviving corporation or acquiring corporation (or the surviving or acquiring corporation’s parent company) may assume or continue outstanding Purchase Rights or may substitute similar rights (including a right to acquire the same consideration paid to the stockholders in the Corporate Transaction) for outstanding Purchase Rights, or (ii) if any surviving or acquiring corporation (or its parent company) does not assume or continue such Purchase Rights or does not substitute similar rights for such Purchase Rights, then the Participants’ accumulated Contributions will be used to purchase shares of Common Stock (rounded down to the nearest whole share) within ten business days (or such other period specified by the Board) prior to the Corporate Transaction under the outstanding Purchase Rights, and the Purchase Rights will terminate immediately after such purchase.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3">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8" w:name="page149"/>
    <w:bookmarkEnd w:id="148"/>
    <w:p>
      <w:pPr>
        <w:ind w:left="400" w:hanging="393"/>
        <w:spacing w:after="0"/>
        <w:tabs>
          <w:tab w:leader="none" w:pos="400" w:val="left"/>
        </w:tabs>
        <w:numPr>
          <w:ilvl w:val="0"/>
          <w:numId w:val="124"/>
        </w:numPr>
        <w:rPr>
          <w:rFonts w:ascii="Arial" w:cs="Arial" w:eastAsia="Arial" w:hAnsi="Arial"/>
          <w:sz w:val="18"/>
          <w:szCs w:val="18"/>
          <w:b w:val="1"/>
          <w:bCs w:val="1"/>
          <w:color w:val="auto"/>
        </w:rPr>
      </w:pPr>
      <w:r>
        <w:rPr>
          <w:rFonts w:ascii="Arial" w:cs="Arial" w:eastAsia="Arial" w:hAnsi="Arial"/>
          <w:sz w:val="18"/>
          <w:szCs w:val="18"/>
          <w:b w:val="1"/>
          <w:bCs w:val="1"/>
          <w:color w:val="auto"/>
        </w:rPr>
        <w:t>Amendment, Termination or Suspension of the Plan.</w:t>
      </w:r>
    </w:p>
    <w:p>
      <w:pPr>
        <w:spacing w:after="0" w:line="226" w:lineRule="exact"/>
        <w:rPr>
          <w:rFonts w:ascii="Arial" w:cs="Arial" w:eastAsia="Arial" w:hAnsi="Arial"/>
          <w:sz w:val="18"/>
          <w:szCs w:val="18"/>
          <w:b w:val="1"/>
          <w:bCs w:val="1"/>
          <w:color w:val="auto"/>
        </w:rPr>
      </w:pPr>
    </w:p>
    <w:p>
      <w:pPr>
        <w:ind w:right="220" w:firstLine="652"/>
        <w:spacing w:after="0" w:line="262" w:lineRule="auto"/>
        <w:tabs>
          <w:tab w:leader="none" w:pos="103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The Board may amend the Plan at any time in any respect the Board deems necessary or advisable. However, except as provided in Section 11(a) relating to Capitalization Adjustments, stockholder approval will be required for any amendment of the Plan for which stockholder approval is required by Applicable Law.</w:t>
      </w:r>
    </w:p>
    <w:p>
      <w:pPr>
        <w:spacing w:after="0" w:line="182" w:lineRule="exact"/>
        <w:rPr>
          <w:rFonts w:ascii="Arial" w:cs="Arial" w:eastAsia="Arial" w:hAnsi="Arial"/>
          <w:sz w:val="18"/>
          <w:szCs w:val="18"/>
          <w:b w:val="1"/>
          <w:bCs w:val="1"/>
          <w:color w:val="auto"/>
        </w:rPr>
      </w:pPr>
    </w:p>
    <w:p>
      <w:pPr>
        <w:ind w:right="120" w:firstLine="652"/>
        <w:spacing w:after="0" w:line="275" w:lineRule="auto"/>
        <w:tabs>
          <w:tab w:leader="none" w:pos="1040" w:val="left"/>
        </w:tabs>
        <w:numPr>
          <w:ilvl w:val="1"/>
          <w:numId w:val="124"/>
        </w:numPr>
        <w:rPr>
          <w:rFonts w:ascii="Arial" w:cs="Arial" w:eastAsia="Arial" w:hAnsi="Arial"/>
          <w:sz w:val="18"/>
          <w:szCs w:val="18"/>
          <w:b w:val="1"/>
          <w:bCs w:val="1"/>
          <w:color w:val="auto"/>
        </w:rPr>
      </w:pPr>
      <w:r>
        <w:rPr>
          <w:rFonts w:ascii="Arial" w:cs="Arial" w:eastAsia="Arial" w:hAnsi="Arial"/>
          <w:sz w:val="18"/>
          <w:szCs w:val="18"/>
          <w:color w:val="auto"/>
        </w:rPr>
        <w:t>The Board may suspend or terminate the Plan at any time. No Purchase Rights may be granted under the Plan while the Plan is suspended or after it is terminated.</w:t>
      </w:r>
    </w:p>
    <w:p>
      <w:pPr>
        <w:spacing w:after="0" w:line="171" w:lineRule="exact"/>
        <w:rPr>
          <w:sz w:val="20"/>
          <w:szCs w:val="20"/>
          <w:color w:val="auto"/>
        </w:rPr>
      </w:pPr>
    </w:p>
    <w:p>
      <w:pPr>
        <w:jc w:val="both"/>
        <w:ind w:firstLine="645"/>
        <w:spacing w:after="0" w:line="266" w:lineRule="auto"/>
        <w:rPr>
          <w:sz w:val="20"/>
          <w:szCs w:val="20"/>
          <w:color w:val="auto"/>
        </w:rPr>
      </w:pPr>
      <w:r>
        <w:rPr>
          <w:rFonts w:ascii="Arial" w:cs="Arial" w:eastAsia="Arial" w:hAnsi="Arial"/>
          <w:sz w:val="17"/>
          <w:szCs w:val="17"/>
          <w:color w:val="auto"/>
        </w:rPr>
        <w:t>Any benefits, privileges, entitlements and obligations under any outstanding Purchase Rights granted before an amendment, suspension or termination of the Plan will not be materially impaired by any such amendment, suspension or termination except (i) with the consent of the person to whom such Purchase Rights were granted, (ii) as necessary to facilitate compliance with any laws, listing requirements, or governmental regulations (including, without limitation, the provisions of Section 423 of the Code and the regulations and other interpretive guidance issued thereunder relating to Employee Stock Purchase Plans) including without limitation any such regulations or other guidance that may be issued or amended after the date the Plan is adopted by the Board, or (iii) as necessary to obtain or maintain favorable tax, listing, or regulatory treatment. To be clear, the Board may amend outstanding Purchase Rights without a Participant’s consent if such amendment is necessary to ensure that the Purchase Right and/or the Plan complies with the requirements of Section 423 of the Code with respect to the 423 Component or with respect to other Applicable Laws. Notwithstanding anything in the Plan or any Offering Document to the contrary, the Board will be entitled to: (i) establish the exchange ratio applicable to amounts withheld in a currency other than U.S. dollars; (ii) permit Contributions in excess of the amount designated by a Participant in order to adjust for mistakes in the Company’s processing of properly completed Contribution elections; (iii) establish reasonable waiting and adjustment periods and/or accounting and crediting procedures to ensure that amounts applied toward the purchase of Common Stock for each Participant properly correspond with amounts withheld from the Participant’s Contributions; (iv) amend any outstanding Purchase Rights or clarify any ambiguities regarding the terms of any Offering to enable the Purchase Rights to qualify under and/or comply with Section 423 of the Code with respect to the 423 Component; and (v) establish other limitations or procedures as the Board determines in its sole discretion advisable that are consistent with the Plan. The actions of the Board pursuant to this paragraph will not be considered to alter or impair any Purchase Rights granted under an Offering as they are part of the initial terms of each Offering and the Purchase Rights granted under each Offering.</w:t>
      </w:r>
    </w:p>
    <w:p>
      <w:pPr>
        <w:spacing w:after="0" w:line="183" w:lineRule="exact"/>
        <w:rPr>
          <w:sz w:val="20"/>
          <w:szCs w:val="20"/>
          <w:color w:val="auto"/>
        </w:rPr>
      </w:pPr>
    </w:p>
    <w:p>
      <w:pPr>
        <w:ind w:left="400" w:hanging="393"/>
        <w:spacing w:after="0"/>
        <w:tabs>
          <w:tab w:leader="none" w:pos="400" w:val="left"/>
        </w:tabs>
        <w:numPr>
          <w:ilvl w:val="0"/>
          <w:numId w:val="125"/>
        </w:numPr>
        <w:rPr>
          <w:rFonts w:ascii="Arial" w:cs="Arial" w:eastAsia="Arial" w:hAnsi="Arial"/>
          <w:sz w:val="18"/>
          <w:szCs w:val="18"/>
          <w:b w:val="1"/>
          <w:bCs w:val="1"/>
          <w:color w:val="auto"/>
        </w:rPr>
      </w:pPr>
      <w:r>
        <w:rPr>
          <w:rFonts w:ascii="Arial" w:cs="Arial" w:eastAsia="Arial" w:hAnsi="Arial"/>
          <w:sz w:val="18"/>
          <w:szCs w:val="18"/>
          <w:b w:val="1"/>
          <w:bCs w:val="1"/>
          <w:color w:val="auto"/>
        </w:rPr>
        <w:t>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Q</w:t>
      </w:r>
      <w:r>
        <w:rPr>
          <w:rFonts w:ascii="Arial" w:cs="Arial" w:eastAsia="Arial" w:hAnsi="Arial"/>
          <w:sz w:val="12"/>
          <w:szCs w:val="12"/>
          <w:b w:val="1"/>
          <w:bCs w:val="1"/>
          <w:color w:val="auto"/>
        </w:rPr>
        <w:t>UALIFICATION</w:t>
      </w:r>
      <w:r>
        <w:rPr>
          <w:rFonts w:ascii="Arial" w:cs="Arial" w:eastAsia="Arial" w:hAnsi="Arial"/>
          <w:sz w:val="18"/>
          <w:szCs w:val="18"/>
          <w:b w:val="1"/>
          <w:bCs w:val="1"/>
          <w:color w:val="auto"/>
        </w:rPr>
        <w:t>; T</w:t>
      </w:r>
      <w:r>
        <w:rPr>
          <w:rFonts w:ascii="Arial" w:cs="Arial" w:eastAsia="Arial" w:hAnsi="Arial"/>
          <w:sz w:val="12"/>
          <w:szCs w:val="12"/>
          <w:b w:val="1"/>
          <w:bCs w:val="1"/>
          <w:color w:val="auto"/>
        </w:rPr>
        <w:t>AX</w:t>
      </w:r>
      <w:r>
        <w:rPr>
          <w:rFonts w:ascii="Arial" w:cs="Arial" w:eastAsia="Arial" w:hAnsi="Arial"/>
          <w:sz w:val="18"/>
          <w:szCs w:val="18"/>
          <w:b w:val="1"/>
          <w:bCs w:val="1"/>
          <w:color w:val="auto"/>
        </w:rPr>
        <w:t xml:space="preserve"> W</w:t>
      </w:r>
      <w:r>
        <w:rPr>
          <w:rFonts w:ascii="Arial" w:cs="Arial" w:eastAsia="Arial" w:hAnsi="Arial"/>
          <w:sz w:val="12"/>
          <w:szCs w:val="12"/>
          <w:b w:val="1"/>
          <w:bCs w:val="1"/>
          <w:color w:val="auto"/>
        </w:rPr>
        <w:t>ITHHOLDING</w:t>
      </w:r>
      <w:r>
        <w:rPr>
          <w:rFonts w:ascii="Arial" w:cs="Arial" w:eastAsia="Arial" w:hAnsi="Arial"/>
          <w:sz w:val="18"/>
          <w:szCs w:val="18"/>
          <w:b w:val="1"/>
          <w:bCs w:val="1"/>
          <w:color w:val="auto"/>
        </w:rPr>
        <w:t>.</w:t>
      </w:r>
    </w:p>
    <w:p>
      <w:pPr>
        <w:spacing w:after="0" w:line="226" w:lineRule="exact"/>
        <w:rPr>
          <w:rFonts w:ascii="Arial" w:cs="Arial" w:eastAsia="Arial" w:hAnsi="Arial"/>
          <w:sz w:val="18"/>
          <w:szCs w:val="18"/>
          <w:b w:val="1"/>
          <w:bCs w:val="1"/>
          <w:color w:val="auto"/>
        </w:rPr>
      </w:pPr>
    </w:p>
    <w:p>
      <w:pPr>
        <w:ind w:right="20" w:firstLine="652"/>
        <w:spacing w:after="0" w:line="258" w:lineRule="auto"/>
        <w:tabs>
          <w:tab w:leader="none" w:pos="1013" w:val="left"/>
        </w:tabs>
        <w:numPr>
          <w:ilvl w:val="1"/>
          <w:numId w:val="125"/>
        </w:numPr>
        <w:rPr>
          <w:rFonts w:ascii="Arial" w:cs="Arial" w:eastAsia="Arial" w:hAnsi="Arial"/>
          <w:sz w:val="18"/>
          <w:szCs w:val="18"/>
          <w:color w:val="auto"/>
        </w:rPr>
      </w:pPr>
      <w:r>
        <w:rPr>
          <w:rFonts w:ascii="Arial" w:cs="Arial" w:eastAsia="Arial" w:hAnsi="Arial"/>
          <w:sz w:val="18"/>
          <w:szCs w:val="18"/>
          <w:color w:val="auto"/>
        </w:rPr>
        <w:t>Although the Company may endeavor to (i) qualify a Purchase Right for special tax treatment under the laws of the United States or jurisdictions outside of the United States or (ii) avoid adverse tax treatment, the Company makes no representation to that effect and expressly disavows any covenant to maintain special or to avoid unfavorable tax treatment, notwithstanding anything to the contrary in this Plan. The Company will be unconstrained in its corporate activities without regard to the potential negative tax impact on Participants.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4">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49" w:name="page150"/>
    <w:bookmarkEnd w:id="149"/>
    <w:p>
      <w:pPr>
        <w:ind w:right="60" w:firstLine="652"/>
        <w:spacing w:after="0" w:line="292" w:lineRule="auto"/>
        <w:tabs>
          <w:tab w:leader="none" w:pos="1033" w:val="left"/>
        </w:tabs>
        <w:numPr>
          <w:ilvl w:val="1"/>
          <w:numId w:val="126"/>
        </w:numPr>
        <w:rPr>
          <w:rFonts w:ascii="Arial" w:cs="Arial" w:eastAsia="Arial" w:hAnsi="Arial"/>
          <w:sz w:val="16"/>
          <w:szCs w:val="16"/>
          <w:color w:val="auto"/>
        </w:rPr>
      </w:pPr>
      <w:r>
        <w:rPr>
          <w:rFonts w:ascii="Arial" w:cs="Arial" w:eastAsia="Arial" w:hAnsi="Arial"/>
          <w:sz w:val="16"/>
          <w:szCs w:val="16"/>
          <w:color w:val="auto"/>
        </w:rPr>
        <w:t>Each Participant will make arrangements, satisfactory to the Company and any applicable Related Corporation, to enable the Company or the Related Corporation to fulfill any withholding obligation for Tax-Related Items. Without limitation to the foregoing, in the Company’s sole discretion and subject to Applicable Law, such withholding obligation may be satisfied in whole or in part by (i) withholding from the Participant’s salary or any other cash payment due to the Participant from the Company or a Related Corporation; (ii) withholding from the proceeds of the sale of shares of Common Stock acquired under the Plan, either through a voluntary sale or a mandatory sale arranged by the Company; or (iii) any other method deemed acceptable by the Board. The Company shall not be required to issue any shares of Common Stock under the Plan until such obligations are satisfied.</w:t>
      </w:r>
    </w:p>
    <w:p>
      <w:pPr>
        <w:spacing w:after="0" w:line="161" w:lineRule="exact"/>
        <w:rPr>
          <w:rFonts w:ascii="Arial" w:cs="Arial" w:eastAsia="Arial" w:hAnsi="Arial"/>
          <w:sz w:val="16"/>
          <w:szCs w:val="16"/>
          <w:color w:val="auto"/>
        </w:rPr>
      </w:pPr>
    </w:p>
    <w:p>
      <w:pPr>
        <w:ind w:right="20" w:firstLine="652"/>
        <w:spacing w:after="0" w:line="268" w:lineRule="auto"/>
        <w:tabs>
          <w:tab w:leader="none" w:pos="1020" w:val="left"/>
        </w:tabs>
        <w:numPr>
          <w:ilvl w:val="1"/>
          <w:numId w:val="126"/>
        </w:numPr>
        <w:rPr>
          <w:rFonts w:ascii="Arial" w:cs="Arial" w:eastAsia="Arial" w:hAnsi="Arial"/>
          <w:sz w:val="17"/>
          <w:szCs w:val="17"/>
          <w:b w:val="1"/>
          <w:bCs w:val="1"/>
          <w:color w:val="auto"/>
        </w:rPr>
      </w:pPr>
      <w:r>
        <w:rPr>
          <w:rFonts w:ascii="Arial" w:cs="Arial" w:eastAsia="Arial" w:hAnsi="Arial"/>
          <w:sz w:val="17"/>
          <w:szCs w:val="17"/>
          <w:color w:val="auto"/>
        </w:rPr>
        <w:t>The 423 Component is exempt from the application of Section 409A of the Code, and any ambiguities herein shall be interpreted to so be exempt from Section 409A of the Code. The Non-423 Component is intended to be exempt from the application of Section 409A of the Code under the short-term deferral exception and any ambiguities shall be construed and interpreted in accordance with such intent. In furtherance of the foregoing and notwithstanding any provision in the Plan to the contrary, if the Committee determines that an option granted under the Plan may be subject to Section 409A of the Code or that any provision in the Plan would cause an option under the Plan to be subject to Section 409A, the Committee may amend the terms of the Plan and/or of an outstanding option granted under the Plan, or take such other action the Committee determines is necessary or appropriate, in each case, without the participant’s consent, to exempt any outstanding option or future option that may be granted under the Plan from or to allow any such options to comply with Section 409A of the Code, but only to the extent any such amendments or action by the Committee would not violate Section 409A of the Code. Notwithstanding the foregoing, the Company shall have no liability to a participant or any other party if the option under the Plan that is intended to be exempt from or compliant with Section 409A of the Code is not so exempt or compliant or for any action taken by the Committee with respect thereto.</w:t>
      </w:r>
    </w:p>
    <w:p>
      <w:pPr>
        <w:spacing w:after="0" w:line="174" w:lineRule="exact"/>
        <w:rPr>
          <w:rFonts w:ascii="Arial" w:cs="Arial" w:eastAsia="Arial" w:hAnsi="Arial"/>
          <w:sz w:val="17"/>
          <w:szCs w:val="17"/>
          <w:b w:val="1"/>
          <w:bCs w:val="1"/>
          <w:color w:val="auto"/>
        </w:rPr>
      </w:pPr>
    </w:p>
    <w:p>
      <w:pPr>
        <w:ind w:left="420" w:hanging="413"/>
        <w:spacing w:after="0"/>
        <w:tabs>
          <w:tab w:leader="none" w:pos="420" w:val="left"/>
        </w:tabs>
        <w:numPr>
          <w:ilvl w:val="0"/>
          <w:numId w:val="127"/>
        </w:numPr>
        <w:rPr>
          <w:rFonts w:ascii="Arial" w:cs="Arial" w:eastAsia="Arial" w:hAnsi="Arial"/>
          <w:sz w:val="18"/>
          <w:szCs w:val="18"/>
          <w:b w:val="1"/>
          <w:bCs w:val="1"/>
          <w:color w:val="auto"/>
        </w:rPr>
      </w:pPr>
      <w:r>
        <w:rPr>
          <w:rFonts w:ascii="Arial" w:cs="Arial" w:eastAsia="Arial" w:hAnsi="Arial"/>
          <w:sz w:val="18"/>
          <w:szCs w:val="18"/>
          <w:b w:val="1"/>
          <w:bCs w:val="1"/>
          <w:color w:val="auto"/>
        </w:rPr>
        <w:t>Effective Date of Plan.</w:t>
      </w:r>
    </w:p>
    <w:p>
      <w:pPr>
        <w:spacing w:after="0" w:line="227" w:lineRule="exact"/>
        <w:rPr>
          <w:sz w:val="20"/>
          <w:szCs w:val="20"/>
          <w:color w:val="auto"/>
        </w:rPr>
      </w:pPr>
    </w:p>
    <w:p>
      <w:pPr>
        <w:jc w:val="both"/>
        <w:ind w:firstLine="645"/>
        <w:spacing w:after="0" w:line="262" w:lineRule="auto"/>
        <w:rPr>
          <w:sz w:val="20"/>
          <w:szCs w:val="20"/>
          <w:color w:val="auto"/>
        </w:rPr>
      </w:pPr>
      <w:r>
        <w:rPr>
          <w:rFonts w:ascii="Arial" w:cs="Arial" w:eastAsia="Arial" w:hAnsi="Arial"/>
          <w:sz w:val="18"/>
          <w:szCs w:val="18"/>
          <w:color w:val="auto"/>
        </w:rPr>
        <w:t>The Plan will become effective immediately prior to and contingent upon the Effective Date. No Purchase Rights will be exercised unless and until the Plan has been approved by the stockholders of the Company, which approval must be within 12 months before or after the date the Plan is adopted (or if required under Section 12(a) above, materially amended) by the Board.</w:t>
      </w:r>
    </w:p>
    <w:p>
      <w:pPr>
        <w:spacing w:after="0" w:line="178" w:lineRule="exact"/>
        <w:rPr>
          <w:sz w:val="20"/>
          <w:szCs w:val="20"/>
          <w:color w:val="auto"/>
        </w:rPr>
      </w:pPr>
    </w:p>
    <w:p>
      <w:pPr>
        <w:ind w:left="420" w:hanging="413"/>
        <w:spacing w:after="0"/>
        <w:tabs>
          <w:tab w:leader="none" w:pos="42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226" w:lineRule="exact"/>
        <w:rPr>
          <w:rFonts w:ascii="Arial" w:cs="Arial" w:eastAsia="Arial" w:hAnsi="Arial"/>
          <w:sz w:val="18"/>
          <w:szCs w:val="18"/>
          <w:b w:val="1"/>
          <w:bCs w:val="1"/>
          <w:color w:val="auto"/>
        </w:rPr>
      </w:pPr>
    </w:p>
    <w:p>
      <w:pPr>
        <w:ind w:left="1040" w:hanging="388"/>
        <w:spacing w:after="0"/>
        <w:tabs>
          <w:tab w:leader="none" w:pos="1040" w:val="left"/>
        </w:tabs>
        <w:numPr>
          <w:ilvl w:val="1"/>
          <w:numId w:val="128"/>
        </w:numPr>
        <w:rPr>
          <w:rFonts w:ascii="Arial" w:cs="Arial" w:eastAsia="Arial" w:hAnsi="Arial"/>
          <w:sz w:val="18"/>
          <w:szCs w:val="18"/>
          <w:b w:val="1"/>
          <w:bCs w:val="1"/>
          <w:color w:val="auto"/>
        </w:rPr>
      </w:pPr>
      <w:r>
        <w:rPr>
          <w:rFonts w:ascii="Arial" w:cs="Arial" w:eastAsia="Arial" w:hAnsi="Arial"/>
          <w:sz w:val="18"/>
          <w:szCs w:val="18"/>
          <w:color w:val="auto"/>
        </w:rPr>
        <w:t>Proceeds from the sale of shares of Common Stock pursuant to Purchase Rights will constitute general funds of the Company.</w:t>
      </w:r>
    </w:p>
    <w:p>
      <w:pPr>
        <w:spacing w:after="0" w:line="222" w:lineRule="exact"/>
        <w:rPr>
          <w:rFonts w:ascii="Arial" w:cs="Arial" w:eastAsia="Arial" w:hAnsi="Arial"/>
          <w:sz w:val="18"/>
          <w:szCs w:val="18"/>
          <w:b w:val="1"/>
          <w:bCs w:val="1"/>
          <w:color w:val="auto"/>
        </w:rPr>
      </w:pPr>
    </w:p>
    <w:p>
      <w:pPr>
        <w:ind w:right="100" w:firstLine="652"/>
        <w:spacing w:after="0" w:line="262" w:lineRule="auto"/>
        <w:tabs>
          <w:tab w:leader="none" w:pos="1033" w:val="left"/>
        </w:tabs>
        <w:numPr>
          <w:ilvl w:val="1"/>
          <w:numId w:val="128"/>
        </w:numPr>
        <w:rPr>
          <w:rFonts w:ascii="Arial" w:cs="Arial" w:eastAsia="Arial" w:hAnsi="Arial"/>
          <w:sz w:val="18"/>
          <w:szCs w:val="18"/>
          <w:b w:val="1"/>
          <w:bCs w:val="1"/>
          <w:color w:val="auto"/>
        </w:rPr>
      </w:pPr>
      <w:r>
        <w:rPr>
          <w:rFonts w:ascii="Arial" w:cs="Arial" w:eastAsia="Arial" w:hAnsi="Arial"/>
          <w:sz w:val="18"/>
          <w:szCs w:val="18"/>
          <w:color w:val="auto"/>
        </w:rPr>
        <w:t>A Participant will not be deemed to be the holder of, or to have any of the rights of a holder with respect to, shares of Common Stock subject to Purchase Rights unless and until the Participant’s shares of Common Stock acquired upon exercise of Purchase Rights are recorded in the books of the Company (or its transfer agent).</w:t>
      </w:r>
    </w:p>
    <w:p>
      <w:pPr>
        <w:spacing w:after="0" w:line="182" w:lineRule="exact"/>
        <w:rPr>
          <w:rFonts w:ascii="Arial" w:cs="Arial" w:eastAsia="Arial" w:hAnsi="Arial"/>
          <w:sz w:val="18"/>
          <w:szCs w:val="18"/>
          <w:b w:val="1"/>
          <w:bCs w:val="1"/>
          <w:color w:val="auto"/>
        </w:rPr>
      </w:pPr>
    </w:p>
    <w:p>
      <w:pPr>
        <w:jc w:val="both"/>
        <w:ind w:right="40" w:firstLine="652"/>
        <w:spacing w:after="0" w:line="258" w:lineRule="auto"/>
        <w:tabs>
          <w:tab w:leader="none" w:pos="1020" w:val="left"/>
        </w:tabs>
        <w:numPr>
          <w:ilvl w:val="1"/>
          <w:numId w:val="128"/>
        </w:numPr>
        <w:rPr>
          <w:rFonts w:ascii="Arial" w:cs="Arial" w:eastAsia="Arial" w:hAnsi="Arial"/>
          <w:sz w:val="18"/>
          <w:szCs w:val="18"/>
          <w:b w:val="1"/>
          <w:bCs w:val="1"/>
          <w:color w:val="auto"/>
        </w:rPr>
      </w:pPr>
      <w:r>
        <w:rPr>
          <w:rFonts w:ascii="Arial" w:cs="Arial" w:eastAsia="Arial" w:hAnsi="Arial"/>
          <w:sz w:val="18"/>
          <w:szCs w:val="18"/>
          <w:color w:val="auto"/>
        </w:rPr>
        <w:t>The Plan and Offering do not constitute an employment contract. Nothing in the Plan or in the Offering will in any way alter the at will nature of a Participant’s employment or amend a Participant’s employment contract, if applicable, or be deemed to create in any way whatsoever any obligation on the part of any Participant to continue in the employ of the Company or a Related Corporation or an Affiliate, or on the part of the Company, a Related Corporation or an Affiliate to continue the employment of a Participant.</w:t>
      </w:r>
    </w:p>
    <w:p>
      <w:pPr>
        <w:spacing w:after="0" w:line="184" w:lineRule="exact"/>
        <w:rPr>
          <w:rFonts w:ascii="Arial" w:cs="Arial" w:eastAsia="Arial" w:hAnsi="Arial"/>
          <w:sz w:val="18"/>
          <w:szCs w:val="18"/>
          <w:b w:val="1"/>
          <w:bCs w:val="1"/>
          <w:color w:val="auto"/>
        </w:rPr>
      </w:pPr>
    </w:p>
    <w:p>
      <w:pPr>
        <w:ind w:left="1040" w:hanging="388"/>
        <w:spacing w:after="0"/>
        <w:tabs>
          <w:tab w:leader="none" w:pos="1040" w:val="left"/>
        </w:tabs>
        <w:numPr>
          <w:ilvl w:val="1"/>
          <w:numId w:val="128"/>
        </w:numPr>
        <w:rPr>
          <w:rFonts w:ascii="Arial" w:cs="Arial" w:eastAsia="Arial" w:hAnsi="Arial"/>
          <w:sz w:val="17"/>
          <w:szCs w:val="17"/>
          <w:b w:val="1"/>
          <w:bCs w:val="1"/>
          <w:color w:val="auto"/>
        </w:rPr>
      </w:pPr>
      <w:r>
        <w:rPr>
          <w:rFonts w:ascii="Arial" w:cs="Arial" w:eastAsia="Arial" w:hAnsi="Arial"/>
          <w:sz w:val="17"/>
          <w:szCs w:val="17"/>
          <w:color w:val="auto"/>
        </w:rPr>
        <w:t>The provisions of the Plan will be governed by the laws of the State of Delaware without resort to that state’s conflicts of laws rules.</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5">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582" w:right="339" w:bottom="1440" w:gutter="0" w:footer="0" w:header="0"/>
        </w:sectPr>
      </w:pPr>
    </w:p>
    <w:bookmarkStart w:id="150" w:name="page151"/>
    <w:bookmarkEnd w:id="150"/>
    <w:p>
      <w:pPr>
        <w:ind w:right="80" w:firstLine="652"/>
        <w:spacing w:after="0" w:line="275" w:lineRule="auto"/>
        <w:tabs>
          <w:tab w:leader="none" w:pos="1023"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If any particular provision of the Plan is found to be invalid or otherwise unenforceable, such provision will not affect the other provisions of the Plan, but the Plan will be construed in all respects as if such invalid provision were omitted.</w:t>
      </w:r>
    </w:p>
    <w:p>
      <w:pPr>
        <w:spacing w:after="0" w:line="170" w:lineRule="exact"/>
        <w:rPr>
          <w:rFonts w:ascii="Arial" w:cs="Arial" w:eastAsia="Arial" w:hAnsi="Arial"/>
          <w:sz w:val="18"/>
          <w:szCs w:val="18"/>
          <w:b w:val="1"/>
          <w:bCs w:val="1"/>
          <w:color w:val="auto"/>
        </w:rPr>
      </w:pPr>
    </w:p>
    <w:p>
      <w:pPr>
        <w:ind w:right="400" w:firstLine="652"/>
        <w:spacing w:after="0" w:line="275" w:lineRule="auto"/>
        <w:tabs>
          <w:tab w:leader="none" w:pos="1003" w:val="left"/>
        </w:tabs>
        <w:numPr>
          <w:ilvl w:val="0"/>
          <w:numId w:val="129"/>
        </w:numPr>
        <w:rPr>
          <w:rFonts w:ascii="Arial" w:cs="Arial" w:eastAsia="Arial" w:hAnsi="Arial"/>
          <w:sz w:val="18"/>
          <w:szCs w:val="18"/>
          <w:b w:val="1"/>
          <w:bCs w:val="1"/>
          <w:color w:val="auto"/>
        </w:rPr>
      </w:pPr>
      <w:r>
        <w:rPr>
          <w:rFonts w:ascii="Arial" w:cs="Arial" w:eastAsia="Arial" w:hAnsi="Arial"/>
          <w:sz w:val="18"/>
          <w:szCs w:val="18"/>
          <w:color w:val="auto"/>
        </w:rPr>
        <w:t>If any provision of the Plan does not comply with Applicable Law, such provision shall be construed in such a manner as to comply with Applicable Law.</w:t>
      </w:r>
    </w:p>
    <w:p>
      <w:pPr>
        <w:spacing w:after="0" w:line="167" w:lineRule="exact"/>
        <w:rPr>
          <w:sz w:val="20"/>
          <w:szCs w:val="20"/>
          <w:color w:val="auto"/>
        </w:rPr>
      </w:pPr>
    </w:p>
    <w:p>
      <w:pPr>
        <w:ind w:left="420" w:hanging="413"/>
        <w:spacing w:after="0"/>
        <w:tabs>
          <w:tab w:leader="none" w:pos="42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t>D</w:t>
      </w:r>
      <w:r>
        <w:rPr>
          <w:rFonts w:ascii="Arial" w:cs="Arial" w:eastAsia="Arial" w:hAnsi="Arial"/>
          <w:sz w:val="12"/>
          <w:szCs w:val="12"/>
          <w:b w:val="1"/>
          <w:bCs w:val="1"/>
          <w:color w:val="auto"/>
        </w:rPr>
        <w:t>EFINITIONS</w:t>
      </w:r>
      <w:r>
        <w:rPr>
          <w:rFonts w:ascii="Arial" w:cs="Arial" w:eastAsia="Arial" w:hAnsi="Arial"/>
          <w:sz w:val="18"/>
          <w:szCs w:val="18"/>
          <w:b w:val="1"/>
          <w:bCs w:val="1"/>
          <w:color w:val="auto"/>
        </w:rPr>
        <w:t>.</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will apply to the capitalized terms indicated below:</w:t>
      </w:r>
    </w:p>
    <w:p>
      <w:pPr>
        <w:spacing w:after="0" w:line="219" w:lineRule="exact"/>
        <w:rPr>
          <w:sz w:val="20"/>
          <w:szCs w:val="20"/>
          <w:color w:val="auto"/>
        </w:rPr>
      </w:pPr>
    </w:p>
    <w:p>
      <w:pPr>
        <w:ind w:right="260" w:firstLine="645"/>
        <w:spacing w:after="0" w:line="280" w:lineRule="auto"/>
        <w:rPr>
          <w:sz w:val="20"/>
          <w:szCs w:val="20"/>
          <w:color w:val="auto"/>
        </w:rPr>
      </w:pPr>
      <w:r>
        <w:rPr>
          <w:rFonts w:ascii="Arial" w:cs="Arial" w:eastAsia="Arial" w:hAnsi="Arial"/>
          <w:sz w:val="18"/>
          <w:szCs w:val="18"/>
          <w:b w:val="1"/>
          <w:bCs w:val="1"/>
          <w:color w:val="auto"/>
        </w:rPr>
        <w:t>(a)</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423 Component</w:t>
      </w:r>
      <w:r>
        <w:rPr>
          <w:rFonts w:ascii="Arial" w:cs="Arial" w:eastAsia="Arial" w:hAnsi="Arial"/>
          <w:sz w:val="18"/>
          <w:szCs w:val="18"/>
          <w:color w:val="auto"/>
        </w:rPr>
        <w:t>” means the part of the Plan, which excludes the Non-423 Component, pursuant to which Purchase Rights that satisfy the</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for an Employee Stock Purchase Plan may be granted to Eligible Employees.</w:t>
      </w:r>
    </w:p>
    <w:p>
      <w:pPr>
        <w:spacing w:after="0" w:line="162" w:lineRule="exact"/>
        <w:rPr>
          <w:sz w:val="20"/>
          <w:szCs w:val="20"/>
          <w:color w:val="auto"/>
        </w:rPr>
      </w:pPr>
    </w:p>
    <w:p>
      <w:pPr>
        <w:ind w:right="400" w:firstLine="645"/>
        <w:spacing w:after="0" w:line="287" w:lineRule="auto"/>
        <w:rPr>
          <w:sz w:val="20"/>
          <w:szCs w:val="20"/>
          <w:color w:val="auto"/>
        </w:rPr>
      </w:pPr>
      <w:r>
        <w:rPr>
          <w:rFonts w:ascii="Arial" w:cs="Arial" w:eastAsia="Arial" w:hAnsi="Arial"/>
          <w:sz w:val="17"/>
          <w:szCs w:val="17"/>
          <w:b w:val="1"/>
          <w:bCs w:val="1"/>
          <w:color w:val="auto"/>
        </w:rPr>
        <w:t>(b)</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Affiliate</w:t>
      </w:r>
      <w:r>
        <w:rPr>
          <w:rFonts w:ascii="Arial" w:cs="Arial" w:eastAsia="Arial" w:hAnsi="Arial"/>
          <w:sz w:val="17"/>
          <w:szCs w:val="17"/>
          <w:color w:val="auto"/>
        </w:rPr>
        <w:t>” means any entity, other than a Related Corporation, whether now or subsequently established, which is at the time of</w:t>
      </w:r>
      <w:r>
        <w:rPr>
          <w:rFonts w:ascii="Arial" w:cs="Arial" w:eastAsia="Arial" w:hAnsi="Arial"/>
          <w:sz w:val="17"/>
          <w:szCs w:val="17"/>
          <w:b w:val="1"/>
          <w:bCs w:val="1"/>
          <w:color w:val="auto"/>
        </w:rPr>
        <w:t xml:space="preserve"> </w:t>
      </w:r>
      <w:r>
        <w:rPr>
          <w:rFonts w:ascii="Arial" w:cs="Arial" w:eastAsia="Arial" w:hAnsi="Arial"/>
          <w:sz w:val="17"/>
          <w:szCs w:val="17"/>
          <w:color w:val="auto"/>
        </w:rPr>
        <w:t>determination, a “parent” or “subsidiary” of the Company as such terms are defined in Rule 405 promulgated under the Securities Act. The Board may determine the time or times at which “parent” or “subsidiary” status is determined within the foregoing definition.</w:t>
      </w:r>
    </w:p>
    <w:p>
      <w:pPr>
        <w:spacing w:after="0" w:line="159" w:lineRule="exact"/>
        <w:rPr>
          <w:sz w:val="20"/>
          <w:szCs w:val="20"/>
          <w:color w:val="auto"/>
        </w:rPr>
      </w:pPr>
    </w:p>
    <w:p>
      <w:pPr>
        <w:ind w:right="40" w:firstLine="645"/>
        <w:spacing w:after="0" w:line="279" w:lineRule="auto"/>
        <w:rPr>
          <w:sz w:val="20"/>
          <w:szCs w:val="20"/>
          <w:color w:val="auto"/>
        </w:rPr>
      </w:pPr>
      <w:r>
        <w:rPr>
          <w:rFonts w:ascii="Arial" w:cs="Arial" w:eastAsia="Arial" w:hAnsi="Arial"/>
          <w:sz w:val="17"/>
          <w:szCs w:val="17"/>
          <w:b w:val="1"/>
          <w:bCs w:val="1"/>
          <w:color w:val="auto"/>
        </w:rPr>
        <w:t>(c)</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Applicable Law</w:t>
      </w:r>
      <w:r>
        <w:rPr>
          <w:rFonts w:ascii="Arial" w:cs="Arial" w:eastAsia="Arial" w:hAnsi="Arial"/>
          <w:sz w:val="17"/>
          <w:szCs w:val="17"/>
          <w:color w:val="auto"/>
        </w:rPr>
        <w:t>” means shall mean the Code and any applicable securities, federal, state, foreign, material local or municipal or other law,</w:t>
      </w:r>
      <w:r>
        <w:rPr>
          <w:rFonts w:ascii="Arial" w:cs="Arial" w:eastAsia="Arial" w:hAnsi="Arial"/>
          <w:sz w:val="17"/>
          <w:szCs w:val="17"/>
          <w:b w:val="1"/>
          <w:bCs w:val="1"/>
          <w:color w:val="auto"/>
        </w:rPr>
        <w:t xml:space="preserve"> </w:t>
      </w:r>
      <w:r>
        <w:rPr>
          <w:rFonts w:ascii="Arial" w:cs="Arial" w:eastAsia="Arial" w:hAnsi="Arial"/>
          <w:sz w:val="17"/>
          <w:szCs w:val="17"/>
          <w:color w:val="auto"/>
        </w:rPr>
        <w:t>statute, constitution, principle of common law, resolution, ordinance, code, edict, decree, rule, listing rule, regulation, judicial decision, ruling or requirement issued, enacted, adopted, promulgated, implemented or otherwise put into effect by or under the authority of any Governmental Body (or under the authority of the NASDAQ Stock Market, the New York Stock Exchange or the Financial Industry Regulatory Authority).</w:t>
      </w:r>
    </w:p>
    <w:p>
      <w:pPr>
        <w:spacing w:after="0" w:line="166"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(d)</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Board</w:t>
      </w:r>
      <w:r>
        <w:rPr>
          <w:rFonts w:ascii="Arial" w:cs="Arial" w:eastAsia="Arial" w:hAnsi="Arial"/>
          <w:sz w:val="16"/>
          <w:szCs w:val="16"/>
          <w:color w:val="auto"/>
        </w:rPr>
        <w:t>” means the board of directors of the Company.</w:t>
      </w:r>
    </w:p>
    <w:p>
      <w:pPr>
        <w:spacing w:after="0" w:line="223" w:lineRule="exact"/>
        <w:rPr>
          <w:sz w:val="20"/>
          <w:szCs w:val="20"/>
          <w:color w:val="auto"/>
        </w:rPr>
      </w:pPr>
    </w:p>
    <w:p>
      <w:pPr>
        <w:ind w:firstLine="645"/>
        <w:spacing w:after="0" w:line="293" w:lineRule="auto"/>
        <w:rPr>
          <w:sz w:val="20"/>
          <w:szCs w:val="20"/>
          <w:color w:val="auto"/>
        </w:rPr>
      </w:pPr>
      <w:r>
        <w:rPr>
          <w:rFonts w:ascii="Arial" w:cs="Arial" w:eastAsia="Arial" w:hAnsi="Arial"/>
          <w:sz w:val="16"/>
          <w:szCs w:val="16"/>
          <w:b w:val="1"/>
          <w:bCs w:val="1"/>
          <w:color w:val="auto"/>
        </w:rPr>
        <w:t>(e)</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Capitalization Adjustment</w:t>
      </w:r>
      <w:r>
        <w:rPr>
          <w:rFonts w:ascii="Arial" w:cs="Arial" w:eastAsia="Arial" w:hAnsi="Arial"/>
          <w:sz w:val="16"/>
          <w:szCs w:val="16"/>
          <w:color w:val="auto"/>
        </w:rPr>
        <w:t>” means any change that is made in, or other events that occur with respect to, the Common Stock subject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or subject to any Purchase Right after the date the Plan is adopted by the Board without the receipt of consideration by the Company through merger, consolidation, reorganization, recapitalization, reincorporation, stock dividend, dividend in property other than cash, large nonrecurring cash dividend, stock split, liquidating dividend, combination of shares, exchange of shares, change in corporate structure or other similar equity restructuring transaction, as that term is used in Financial Accounting Standards Board Accounting Standards Codification Topic 718 (or any successor thereto). Notwithstanding the foregoing, the conversion of any convertible securities of the Company will not be treated as a Capitalization Adjustment.</w:t>
      </w:r>
    </w:p>
    <w:p>
      <w:pPr>
        <w:spacing w:after="0" w:line="161" w:lineRule="exact"/>
        <w:rPr>
          <w:sz w:val="20"/>
          <w:szCs w:val="20"/>
          <w:color w:val="auto"/>
        </w:rPr>
      </w:pPr>
    </w:p>
    <w:p>
      <w:pPr>
        <w:ind w:left="1060" w:hanging="408"/>
        <w:spacing w:after="0"/>
        <w:tabs>
          <w:tab w:leader="none" w:pos="1060" w:val="left"/>
        </w:tabs>
        <w:numPr>
          <w:ilvl w:val="0"/>
          <w:numId w:val="131"/>
        </w:numPr>
        <w:rPr>
          <w:rFonts w:ascii="Arial" w:cs="Arial" w:eastAsia="Arial" w:hAnsi="Arial"/>
          <w:sz w:val="17"/>
          <w:szCs w:val="17"/>
          <w:b w:val="1"/>
          <w:bCs w:val="1"/>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means the U.S. Internal Revenue Code of 1986, as amended, including any applicable regulations and guidance thereunder</w:t>
      </w:r>
      <w:r>
        <w:rPr>
          <w:rFonts w:ascii="Arial" w:cs="Arial" w:eastAsia="Arial" w:hAnsi="Arial"/>
          <w:sz w:val="17"/>
          <w:szCs w:val="17"/>
          <w:i w:val="1"/>
          <w:iCs w:val="1"/>
          <w:color w:val="auto"/>
        </w:rPr>
        <w:t>.</w:t>
      </w:r>
    </w:p>
    <w:p>
      <w:pPr>
        <w:spacing w:after="0" w:line="230" w:lineRule="exact"/>
        <w:rPr>
          <w:sz w:val="20"/>
          <w:szCs w:val="20"/>
          <w:color w:val="auto"/>
        </w:rPr>
      </w:pPr>
    </w:p>
    <w:p>
      <w:pPr>
        <w:ind w:right="280" w:firstLine="645"/>
        <w:spacing w:after="0" w:line="280" w:lineRule="auto"/>
        <w:rPr>
          <w:sz w:val="20"/>
          <w:szCs w:val="20"/>
          <w:color w:val="auto"/>
        </w:rPr>
      </w:pPr>
      <w:r>
        <w:rPr>
          <w:rFonts w:ascii="Arial" w:cs="Arial" w:eastAsia="Arial" w:hAnsi="Arial"/>
          <w:sz w:val="18"/>
          <w:szCs w:val="18"/>
          <w:b w:val="1"/>
          <w:bCs w:val="1"/>
          <w:color w:val="auto"/>
        </w:rPr>
        <w:t>(g)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means a committee of one or more members of the Board to whom authority has been delegated by the Board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Section 2(c).</w:t>
      </w:r>
    </w:p>
    <w:p>
      <w:pPr>
        <w:spacing w:after="0" w:line="16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(h)</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Common Stock</w:t>
      </w:r>
      <w:r>
        <w:rPr>
          <w:rFonts w:ascii="Arial" w:cs="Arial" w:eastAsia="Arial" w:hAnsi="Arial"/>
          <w:sz w:val="16"/>
          <w:szCs w:val="16"/>
          <w:color w:val="auto"/>
        </w:rPr>
        <w:t>” means the common stock of the Company.</w:t>
      </w:r>
    </w:p>
    <w:p>
      <w:pPr>
        <w:spacing w:after="0" w:line="223"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(i)</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means KemPharm, Inc., a Delaware corporation.</w:t>
      </w: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6">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82" w:right="359" w:bottom="1440" w:gutter="0" w:footer="0" w:header="0"/>
        </w:sectPr>
      </w:pPr>
    </w:p>
    <w:bookmarkStart w:id="151" w:name="page152"/>
    <w:bookmarkEnd w:id="151"/>
    <w:p>
      <w:pPr>
        <w:ind w:right="40" w:firstLine="645"/>
        <w:spacing w:after="0" w:line="259" w:lineRule="auto"/>
        <w:rPr>
          <w:sz w:val="20"/>
          <w:szCs w:val="20"/>
          <w:color w:val="auto"/>
        </w:rPr>
      </w:pPr>
      <w:r>
        <w:rPr>
          <w:rFonts w:ascii="Arial" w:cs="Arial" w:eastAsia="Arial" w:hAnsi="Arial"/>
          <w:sz w:val="18"/>
          <w:szCs w:val="18"/>
          <w:b w:val="1"/>
          <w:bCs w:val="1"/>
          <w:color w:val="auto"/>
        </w:rPr>
        <w:t>(j)</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Contributions</w:t>
      </w:r>
      <w:r>
        <w:rPr>
          <w:rFonts w:ascii="Arial" w:cs="Arial" w:eastAsia="Arial" w:hAnsi="Arial"/>
          <w:sz w:val="18"/>
          <w:szCs w:val="18"/>
          <w:color w:val="auto"/>
        </w:rPr>
        <w:t>” means the payroll deductions and other additional payments specifically provided for in the Offering that a Participant</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contributes to fund the exercise of a Purchase Right. A Participant may make additional payments into his or her account if specifically provided for in the Offering, and then only if the Participant has not already had the maximum permitted amount withheld during the Offering through payroll deductions and, with respect to the 423 Component, to the extent permitted by Section 423 of the Code.</w:t>
      </w:r>
    </w:p>
    <w:p>
      <w:pPr>
        <w:spacing w:after="0" w:line="181" w:lineRule="exact"/>
        <w:rPr>
          <w:sz w:val="20"/>
          <w:szCs w:val="20"/>
          <w:color w:val="auto"/>
        </w:rPr>
      </w:pPr>
    </w:p>
    <w:p>
      <w:pPr>
        <w:ind w:right="280" w:firstLine="645"/>
        <w:spacing w:after="0" w:line="280" w:lineRule="auto"/>
        <w:rPr>
          <w:sz w:val="20"/>
          <w:szCs w:val="20"/>
          <w:color w:val="auto"/>
        </w:rPr>
      </w:pPr>
      <w:r>
        <w:rPr>
          <w:rFonts w:ascii="Arial" w:cs="Arial" w:eastAsia="Arial" w:hAnsi="Arial"/>
          <w:sz w:val="18"/>
          <w:szCs w:val="18"/>
          <w:b w:val="1"/>
          <w:bCs w:val="1"/>
          <w:color w:val="auto"/>
        </w:rPr>
        <w:t>(k)</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Corporate Transaction</w:t>
      </w:r>
      <w:r>
        <w:rPr>
          <w:rFonts w:ascii="Arial" w:cs="Arial" w:eastAsia="Arial" w:hAnsi="Arial"/>
          <w:sz w:val="18"/>
          <w:szCs w:val="18"/>
          <w:color w:val="auto"/>
        </w:rPr>
        <w:t>” means the consummation, in a single transaction or in a series of related transactions, of any one or more of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events:</w:t>
      </w:r>
    </w:p>
    <w:p>
      <w:pPr>
        <w:spacing w:after="0" w:line="166" w:lineRule="exact"/>
        <w:rPr>
          <w:sz w:val="20"/>
          <w:szCs w:val="20"/>
          <w:color w:val="auto"/>
        </w:rPr>
      </w:pPr>
    </w:p>
    <w:p>
      <w:pPr>
        <w:ind w:firstLine="1297"/>
        <w:spacing w:after="0" w:line="275" w:lineRule="auto"/>
        <w:tabs>
          <w:tab w:leader="none" w:pos="1638"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all or substantially all, as determined by the Board in its sole discretion, of the consolidated assets of the Company and its subsidiaries;</w:t>
      </w:r>
    </w:p>
    <w:p>
      <w:pPr>
        <w:spacing w:after="0" w:line="170" w:lineRule="exact"/>
        <w:rPr>
          <w:rFonts w:ascii="Arial" w:cs="Arial" w:eastAsia="Arial" w:hAnsi="Arial"/>
          <w:sz w:val="18"/>
          <w:szCs w:val="18"/>
          <w:b w:val="1"/>
          <w:bCs w:val="1"/>
          <w:color w:val="auto"/>
        </w:rPr>
      </w:pPr>
    </w:p>
    <w:p>
      <w:pPr>
        <w:ind w:left="1700" w:hanging="403"/>
        <w:spacing w:after="0"/>
        <w:tabs>
          <w:tab w:leader="none" w:pos="170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a sale or other disposition of more than 50% of the outstanding securities of the Company;</w:t>
      </w:r>
    </w:p>
    <w:p>
      <w:pPr>
        <w:spacing w:after="0" w:line="222" w:lineRule="exact"/>
        <w:rPr>
          <w:rFonts w:ascii="Arial" w:cs="Arial" w:eastAsia="Arial" w:hAnsi="Arial"/>
          <w:sz w:val="18"/>
          <w:szCs w:val="18"/>
          <w:b w:val="1"/>
          <w:bCs w:val="1"/>
          <w:color w:val="auto"/>
        </w:rPr>
      </w:pPr>
    </w:p>
    <w:p>
      <w:pPr>
        <w:ind w:left="1740" w:hanging="443"/>
        <w:spacing w:after="0"/>
        <w:tabs>
          <w:tab w:leader="none" w:pos="1740"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not the surviving corporation; or</w:t>
      </w:r>
    </w:p>
    <w:p>
      <w:pPr>
        <w:spacing w:after="0" w:line="222" w:lineRule="exact"/>
        <w:rPr>
          <w:rFonts w:ascii="Arial" w:cs="Arial" w:eastAsia="Arial" w:hAnsi="Arial"/>
          <w:sz w:val="18"/>
          <w:szCs w:val="18"/>
          <w:b w:val="1"/>
          <w:bCs w:val="1"/>
          <w:color w:val="auto"/>
        </w:rPr>
      </w:pPr>
    </w:p>
    <w:p>
      <w:pPr>
        <w:jc w:val="both"/>
        <w:ind w:firstLine="1297"/>
        <w:spacing w:after="0" w:line="262" w:lineRule="auto"/>
        <w:tabs>
          <w:tab w:leader="none" w:pos="1728" w:val="left"/>
        </w:tabs>
        <w:numPr>
          <w:ilvl w:val="0"/>
          <w:numId w:val="132"/>
        </w:numPr>
        <w:rPr>
          <w:rFonts w:ascii="Arial" w:cs="Arial" w:eastAsia="Arial" w:hAnsi="Arial"/>
          <w:sz w:val="18"/>
          <w:szCs w:val="18"/>
          <w:b w:val="1"/>
          <w:bCs w:val="1"/>
          <w:color w:val="auto"/>
        </w:rPr>
      </w:pPr>
      <w:r>
        <w:rPr>
          <w:rFonts w:ascii="Arial" w:cs="Arial" w:eastAsia="Arial" w:hAnsi="Arial"/>
          <w:sz w:val="18"/>
          <w:szCs w:val="18"/>
          <w:color w:val="auto"/>
        </w:rPr>
        <w:t>a merger, consolidation or similar transaction following which the Company is the surviving corporation but the shares of Common Stock outstanding immediately preceding the merger, consolidation or similar transaction are converted or exchanged by virtue of the merger, consolidation or similar transaction into other property, whether in the form of securities, cash or otherwise.</w:t>
      </w:r>
    </w:p>
    <w:p>
      <w:pPr>
        <w:spacing w:after="0" w:line="178"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Designated 423 Corporation</w:t>
      </w:r>
      <w:r>
        <w:rPr>
          <w:rFonts w:ascii="Arial" w:cs="Arial" w:eastAsia="Arial" w:hAnsi="Arial"/>
          <w:sz w:val="16"/>
          <w:szCs w:val="16"/>
          <w:color w:val="auto"/>
        </w:rPr>
        <w:t>” means any Related Corporation selected by the Board to participate in the 423 Component.</w:t>
      </w:r>
    </w:p>
    <w:p>
      <w:pPr>
        <w:spacing w:after="0" w:line="223" w:lineRule="exact"/>
        <w:rPr>
          <w:sz w:val="20"/>
          <w:szCs w:val="20"/>
          <w:color w:val="auto"/>
        </w:rPr>
      </w:pPr>
    </w:p>
    <w:p>
      <w:pPr>
        <w:ind w:right="120" w:firstLine="645"/>
        <w:spacing w:after="0" w:line="310" w:lineRule="auto"/>
        <w:rPr>
          <w:sz w:val="20"/>
          <w:szCs w:val="20"/>
          <w:color w:val="auto"/>
        </w:rPr>
      </w:pPr>
      <w:r>
        <w:rPr>
          <w:rFonts w:ascii="Arial" w:cs="Arial" w:eastAsia="Arial" w:hAnsi="Arial"/>
          <w:sz w:val="17"/>
          <w:szCs w:val="17"/>
          <w:b w:val="1"/>
          <w:bCs w:val="1"/>
          <w:color w:val="auto"/>
        </w:rPr>
        <w:t>(m)</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Designated Company</w:t>
      </w:r>
      <w:r>
        <w:rPr>
          <w:rFonts w:ascii="Arial" w:cs="Arial" w:eastAsia="Arial" w:hAnsi="Arial"/>
          <w:sz w:val="17"/>
          <w:szCs w:val="17"/>
          <w:color w:val="auto"/>
        </w:rPr>
        <w:t>” means any Designated Non-423 Corporation or Designated 423 Corporation, provided, however, that at any given</w:t>
      </w:r>
      <w:r>
        <w:rPr>
          <w:rFonts w:ascii="Arial" w:cs="Arial" w:eastAsia="Arial" w:hAnsi="Arial"/>
          <w:sz w:val="17"/>
          <w:szCs w:val="17"/>
          <w:b w:val="1"/>
          <w:bCs w:val="1"/>
          <w:color w:val="auto"/>
        </w:rPr>
        <w:t xml:space="preserve"> </w:t>
      </w:r>
      <w:r>
        <w:rPr>
          <w:rFonts w:ascii="Arial" w:cs="Arial" w:eastAsia="Arial" w:hAnsi="Arial"/>
          <w:sz w:val="17"/>
          <w:szCs w:val="17"/>
          <w:color w:val="auto"/>
        </w:rPr>
        <w:t>time, a Related Corporation participating in the 423 Component shall not be a Related Corporation participating in the Non-423 Component.</w:t>
      </w:r>
    </w:p>
    <w:p>
      <w:pPr>
        <w:spacing w:after="0" w:line="140" w:lineRule="exact"/>
        <w:rPr>
          <w:sz w:val="20"/>
          <w:szCs w:val="20"/>
          <w:color w:val="auto"/>
        </w:rPr>
      </w:pPr>
    </w:p>
    <w:p>
      <w:pPr>
        <w:ind w:right="640" w:firstLine="645"/>
        <w:spacing w:after="0" w:line="280"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Designated Non-423 Corporation</w:t>
      </w:r>
      <w:r>
        <w:rPr>
          <w:rFonts w:ascii="Arial" w:cs="Arial" w:eastAsia="Arial" w:hAnsi="Arial"/>
          <w:sz w:val="18"/>
          <w:szCs w:val="18"/>
          <w:color w:val="auto"/>
        </w:rPr>
        <w:t>” means any Related Corporation or Affiliate selected by the Board to participate in the Non-423</w:t>
      </w:r>
      <w:r>
        <w:rPr>
          <w:rFonts w:ascii="Arial" w:cs="Arial" w:eastAsia="Arial" w:hAnsi="Arial"/>
          <w:sz w:val="18"/>
          <w:szCs w:val="18"/>
          <w:b w:val="1"/>
          <w:bCs w:val="1"/>
          <w:color w:val="auto"/>
        </w:rPr>
        <w:t xml:space="preserve"> </w:t>
      </w:r>
      <w:r>
        <w:rPr>
          <w:rFonts w:ascii="Arial" w:cs="Arial" w:eastAsia="Arial" w:hAnsi="Arial"/>
          <w:sz w:val="18"/>
          <w:szCs w:val="18"/>
          <w:color w:val="auto"/>
        </w:rPr>
        <w:t>Component.</w:t>
      </w:r>
    </w:p>
    <w:p>
      <w:pPr>
        <w:spacing w:after="0" w:line="162"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(o)</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Director</w:t>
      </w:r>
      <w:r>
        <w:rPr>
          <w:rFonts w:ascii="Arial" w:cs="Arial" w:eastAsia="Arial" w:hAnsi="Arial"/>
          <w:sz w:val="16"/>
          <w:szCs w:val="16"/>
          <w:color w:val="auto"/>
        </w:rPr>
        <w:t>” means a member of the Board.</w:t>
      </w:r>
    </w:p>
    <w:p>
      <w:pPr>
        <w:spacing w:after="0" w:line="22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(p)</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means the effective date of this Plan, which is the date on which this Plan is approved by the Company’s stockholders.</w:t>
      </w:r>
    </w:p>
    <w:p>
      <w:pPr>
        <w:spacing w:after="0" w:line="223" w:lineRule="exact"/>
        <w:rPr>
          <w:sz w:val="20"/>
          <w:szCs w:val="20"/>
          <w:color w:val="auto"/>
        </w:rPr>
      </w:pPr>
    </w:p>
    <w:p>
      <w:pPr>
        <w:ind w:right="180" w:firstLine="645"/>
        <w:spacing w:after="0" w:line="310" w:lineRule="auto"/>
        <w:rPr>
          <w:sz w:val="20"/>
          <w:szCs w:val="20"/>
          <w:color w:val="auto"/>
        </w:rPr>
      </w:pPr>
      <w:r>
        <w:rPr>
          <w:rFonts w:ascii="Arial" w:cs="Arial" w:eastAsia="Arial" w:hAnsi="Arial"/>
          <w:sz w:val="17"/>
          <w:szCs w:val="17"/>
          <w:b w:val="1"/>
          <w:bCs w:val="1"/>
          <w:color w:val="auto"/>
        </w:rPr>
        <w:t>(q)</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b w:val="1"/>
          <w:bCs w:val="1"/>
          <w:i w:val="1"/>
          <w:iCs w:val="1"/>
          <w:color w:val="auto"/>
        </w:rPr>
        <w:t>Eligible Employee</w:t>
      </w:r>
      <w:r>
        <w:rPr>
          <w:rFonts w:ascii="Arial" w:cs="Arial" w:eastAsia="Arial" w:hAnsi="Arial"/>
          <w:sz w:val="17"/>
          <w:szCs w:val="17"/>
          <w:color w:val="auto"/>
        </w:rPr>
        <w:t>” means an Employee who meets the requirements set forth in the document(s) governing the Offering for eligibility to</w:t>
      </w:r>
      <w:r>
        <w:rPr>
          <w:rFonts w:ascii="Arial" w:cs="Arial" w:eastAsia="Arial" w:hAnsi="Arial"/>
          <w:sz w:val="17"/>
          <w:szCs w:val="17"/>
          <w:b w:val="1"/>
          <w:bCs w:val="1"/>
          <w:color w:val="auto"/>
        </w:rPr>
        <w:t xml:space="preserve"> </w:t>
      </w:r>
      <w:r>
        <w:rPr>
          <w:rFonts w:ascii="Arial" w:cs="Arial" w:eastAsia="Arial" w:hAnsi="Arial"/>
          <w:sz w:val="17"/>
          <w:szCs w:val="17"/>
          <w:color w:val="auto"/>
        </w:rPr>
        <w:t>participate in the Offering, provided that such Employee also meets the requirements for eligibility to participate set forth in the Plan.</w:t>
      </w:r>
    </w:p>
    <w:p>
      <w:pPr>
        <w:spacing w:after="0" w:line="140" w:lineRule="exact"/>
        <w:rPr>
          <w:sz w:val="20"/>
          <w:szCs w:val="20"/>
          <w:color w:val="auto"/>
        </w:rPr>
      </w:pPr>
    </w:p>
    <w:p>
      <w:pPr>
        <w:ind w:right="140" w:firstLine="645"/>
        <w:spacing w:after="0" w:line="264"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means any person, including an Officer or Director, who is “employed” for purposes of Section 423(b)(4) of the Code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or a Related Corporation, or solely with respect to the Non-423 Component, an Affiliate. However, service solely as a Director, or payment of a fee for such services, will not cause a Director to be considered an “Employee” for purposes of the Plan.</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82550</wp:posOffset>
            </wp:positionV>
            <wp:extent cx="713295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7">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180"/>
          </w:cols>
          <w:pgMar w:left="320" w:top="578" w:right="399" w:bottom="1440" w:gutter="0" w:footer="0" w:header="0"/>
        </w:sectPr>
      </w:pPr>
    </w:p>
    <w:bookmarkStart w:id="152" w:name="page153"/>
    <w:bookmarkEnd w:id="152"/>
    <w:p>
      <w:pPr>
        <w:ind w:right="40" w:firstLine="645"/>
        <w:spacing w:after="0" w:line="280" w:lineRule="auto"/>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Employee Stock Purchase Plan</w:t>
      </w:r>
      <w:r>
        <w:rPr>
          <w:rFonts w:ascii="Arial" w:cs="Arial" w:eastAsia="Arial" w:hAnsi="Arial"/>
          <w:sz w:val="18"/>
          <w:szCs w:val="18"/>
          <w:color w:val="auto"/>
        </w:rPr>
        <w:t>” means a plan that grants Purchase Rights intended to be options issued under an “employee stock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plan,” as that term is defined in Section 423(b) of the Code.</w:t>
      </w:r>
    </w:p>
    <w:p>
      <w:pPr>
        <w:spacing w:after="0" w:line="162" w:lineRule="exact"/>
        <w:rPr>
          <w:sz w:val="20"/>
          <w:szCs w:val="20"/>
          <w:color w:val="auto"/>
        </w:rPr>
      </w:pPr>
    </w:p>
    <w:p>
      <w:pPr>
        <w:ind w:left="660"/>
        <w:spacing w:after="0"/>
        <w:tabs>
          <w:tab w:leader="none" w:pos="1060" w:val="left"/>
        </w:tabs>
        <w:rPr>
          <w:sz w:val="20"/>
          <w:szCs w:val="20"/>
          <w:color w:val="auto"/>
        </w:rPr>
      </w:pPr>
      <w:r>
        <w:rPr>
          <w:rFonts w:ascii="Arial" w:cs="Arial" w:eastAsia="Arial" w:hAnsi="Arial"/>
          <w:sz w:val="18"/>
          <w:szCs w:val="18"/>
          <w:b w:val="1"/>
          <w:bCs w:val="1"/>
          <w:color w:val="auto"/>
        </w:rPr>
        <w:t>(t)</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Exchange Act</w:t>
      </w:r>
      <w:r>
        <w:rPr>
          <w:rFonts w:ascii="Arial" w:cs="Arial" w:eastAsia="Arial" w:hAnsi="Arial"/>
          <w:sz w:val="15"/>
          <w:szCs w:val="15"/>
          <w:color w:val="auto"/>
        </w:rPr>
        <w:t>” means the U.S. Securities Exchange Act of 1934, as amended and the rules and regulations promulgated thereunder.</w:t>
      </w:r>
    </w:p>
    <w:p>
      <w:pPr>
        <w:spacing w:after="0" w:line="223" w:lineRule="exact"/>
        <w:rPr>
          <w:sz w:val="20"/>
          <w:szCs w:val="20"/>
          <w:color w:val="auto"/>
        </w:rPr>
      </w:pPr>
    </w:p>
    <w:p>
      <w:pPr>
        <w:ind w:left="660"/>
        <w:spacing w:after="0"/>
        <w:tabs>
          <w:tab w:leader="none" w:pos="1100" w:val="left"/>
        </w:tabs>
        <w:rPr>
          <w:sz w:val="20"/>
          <w:szCs w:val="20"/>
          <w:color w:val="auto"/>
        </w:rPr>
      </w:pPr>
      <w:r>
        <w:rPr>
          <w:rFonts w:ascii="Arial" w:cs="Arial" w:eastAsia="Arial" w:hAnsi="Arial"/>
          <w:sz w:val="18"/>
          <w:szCs w:val="18"/>
          <w:b w:val="1"/>
          <w:bCs w:val="1"/>
          <w:color w:val="auto"/>
        </w:rPr>
        <w:t>(u)</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means, as of any date, the value of the Common Stock determined as follows:</w:t>
      </w:r>
    </w:p>
    <w:p>
      <w:pPr>
        <w:spacing w:after="0" w:line="227" w:lineRule="exact"/>
        <w:rPr>
          <w:sz w:val="20"/>
          <w:szCs w:val="20"/>
          <w:color w:val="auto"/>
        </w:rPr>
      </w:pPr>
    </w:p>
    <w:p>
      <w:pPr>
        <w:ind w:firstLine="1297"/>
        <w:spacing w:after="0" w:line="255" w:lineRule="auto"/>
        <w:tabs>
          <w:tab w:leader="none" w:pos="1638"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If the Common Stock is listed on any established stock exchange or traded on any established market, the Fair Market Value of a share of Common Stock will be the closing sales price for such stock as quoted on such exchange or market (or the exchange or market with the greatest volume of trading in the Common Stock) on the date of determination, as reported in such source as the Board deems reliable. Unless otherwise provided by the Board, if there is no closing sales price for the Common Stock on the date of determination, then the Fair Market Value will be the closing sales price on the last preceding date for which such quotation exists.</w:t>
      </w:r>
    </w:p>
    <w:p>
      <w:pPr>
        <w:spacing w:after="0" w:line="190" w:lineRule="exact"/>
        <w:rPr>
          <w:rFonts w:ascii="Arial" w:cs="Arial" w:eastAsia="Arial" w:hAnsi="Arial"/>
          <w:sz w:val="18"/>
          <w:szCs w:val="18"/>
          <w:b w:val="1"/>
          <w:bCs w:val="1"/>
          <w:color w:val="auto"/>
        </w:rPr>
      </w:pPr>
    </w:p>
    <w:p>
      <w:pPr>
        <w:ind w:right="100" w:firstLine="1297"/>
        <w:spacing w:after="0" w:line="262" w:lineRule="auto"/>
        <w:tabs>
          <w:tab w:leader="none" w:pos="1688" w:val="left"/>
        </w:tabs>
        <w:numPr>
          <w:ilvl w:val="0"/>
          <w:numId w:val="133"/>
        </w:numPr>
        <w:rPr>
          <w:rFonts w:ascii="Arial" w:cs="Arial" w:eastAsia="Arial" w:hAnsi="Arial"/>
          <w:sz w:val="18"/>
          <w:szCs w:val="18"/>
          <w:b w:val="1"/>
          <w:bCs w:val="1"/>
          <w:color w:val="auto"/>
        </w:rPr>
      </w:pPr>
      <w:r>
        <w:rPr>
          <w:rFonts w:ascii="Arial" w:cs="Arial" w:eastAsia="Arial" w:hAnsi="Arial"/>
          <w:sz w:val="18"/>
          <w:szCs w:val="18"/>
          <w:color w:val="auto"/>
        </w:rPr>
        <w:t>In the absence of such markets for the Common Stock, the Fair Market Value will be determined by the Board in good faith in compliance with Applicable Laws and regulations and, to the extent applicable as determined in the sole discretion of the Board, in a manner that complies with Sections 409A of the Code</w:t>
      </w:r>
    </w:p>
    <w:p>
      <w:pPr>
        <w:spacing w:after="0" w:line="178" w:lineRule="exact"/>
        <w:rPr>
          <w:sz w:val="20"/>
          <w:szCs w:val="20"/>
          <w:color w:val="auto"/>
        </w:rPr>
      </w:pPr>
    </w:p>
    <w:p>
      <w:pPr>
        <w:ind w:right="120" w:firstLine="645"/>
        <w:spacing w:after="0" w:line="280" w:lineRule="auto"/>
        <w:rPr>
          <w:sz w:val="20"/>
          <w:szCs w:val="20"/>
          <w:color w:val="auto"/>
        </w:rPr>
      </w:pPr>
      <w:r>
        <w:rPr>
          <w:rFonts w:ascii="Arial" w:cs="Arial" w:eastAsia="Arial" w:hAnsi="Arial"/>
          <w:sz w:val="18"/>
          <w:szCs w:val="18"/>
          <w:b w:val="1"/>
          <w:bCs w:val="1"/>
          <w:color w:val="auto"/>
        </w:rPr>
        <w:t>(v)</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Fully-Diluted Common Stock</w:t>
      </w:r>
      <w:r>
        <w:rPr>
          <w:rFonts w:ascii="Arial" w:cs="Arial" w:eastAsia="Arial" w:hAnsi="Arial"/>
          <w:sz w:val="18"/>
          <w:szCs w:val="18"/>
          <w:color w:val="auto"/>
        </w:rPr>
        <w:t>” means, as of any date, the aggregate number of (i) shares of Common Stock issued and outstanding and (ii)</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convertible into or exercisable for shares of Common Stock (whether vested or unvested).</w:t>
      </w:r>
    </w:p>
    <w:p>
      <w:pPr>
        <w:spacing w:after="0" w:line="162" w:lineRule="exact"/>
        <w:rPr>
          <w:sz w:val="20"/>
          <w:szCs w:val="20"/>
          <w:color w:val="auto"/>
        </w:rPr>
      </w:pPr>
    </w:p>
    <w:p>
      <w:pPr>
        <w:ind w:right="60" w:firstLine="645"/>
        <w:spacing w:after="0" w:line="255" w:lineRule="auto"/>
        <w:rPr>
          <w:sz w:val="20"/>
          <w:szCs w:val="20"/>
          <w:color w:val="auto"/>
        </w:rPr>
      </w:pPr>
      <w:r>
        <w:rPr>
          <w:rFonts w:ascii="Arial" w:cs="Arial" w:eastAsia="Arial" w:hAnsi="Arial"/>
          <w:sz w:val="18"/>
          <w:szCs w:val="18"/>
          <w:b w:val="1"/>
          <w:bCs w:val="1"/>
          <w:color w:val="auto"/>
        </w:rPr>
        <w:t>(w)</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Governmental Body</w:t>
      </w:r>
      <w:r>
        <w:rPr>
          <w:rFonts w:ascii="Arial" w:cs="Arial" w:eastAsia="Arial" w:hAnsi="Arial"/>
          <w:sz w:val="18"/>
          <w:szCs w:val="18"/>
          <w:color w:val="auto"/>
        </w:rPr>
        <w:t>” means any: (a) nation, state, commonwealth, province, territory, county, municipality, district or other jurisdiction of</w:t>
      </w:r>
      <w:r>
        <w:rPr>
          <w:rFonts w:ascii="Arial" w:cs="Arial" w:eastAsia="Arial" w:hAnsi="Arial"/>
          <w:sz w:val="18"/>
          <w:szCs w:val="18"/>
          <w:b w:val="1"/>
          <w:bCs w:val="1"/>
          <w:color w:val="auto"/>
        </w:rPr>
        <w:t xml:space="preserve"> </w:t>
      </w:r>
      <w:r>
        <w:rPr>
          <w:rFonts w:ascii="Arial" w:cs="Arial" w:eastAsia="Arial" w:hAnsi="Arial"/>
          <w:sz w:val="18"/>
          <w:szCs w:val="18"/>
          <w:color w:val="auto"/>
        </w:rPr>
        <w:t>any nature; (b) federal, state, local, municipal, foreign or other government; (c) governmental or regulatory body, or quasi-governmental body of any nature (including any governmental division, department, administrative agency or bureau, commission, authority, instrumentality, official, ministry, fund, foundation, center, organization, unit, body or entity and any court or other tribunal, and for the avoidance of doubt, any tax authority) or other body exercising similar powers or authority; or (d) self-regulatory organization (including the NASDAQ Stock Market, the New York Stock Exchange and the Financial Industry Regulatory Authority).</w:t>
      </w:r>
    </w:p>
    <w:p>
      <w:pPr>
        <w:spacing w:after="0" w:line="185" w:lineRule="exact"/>
        <w:rPr>
          <w:sz w:val="20"/>
          <w:szCs w:val="20"/>
          <w:color w:val="auto"/>
        </w:rPr>
      </w:pPr>
    </w:p>
    <w:p>
      <w:pPr>
        <w:ind w:right="480" w:firstLine="645"/>
        <w:spacing w:after="0" w:line="280" w:lineRule="auto"/>
        <w:rPr>
          <w:sz w:val="20"/>
          <w:szCs w:val="20"/>
          <w:color w:val="auto"/>
        </w:rPr>
      </w:pPr>
      <w:r>
        <w:rPr>
          <w:rFonts w:ascii="Arial" w:cs="Arial" w:eastAsia="Arial" w:hAnsi="Arial"/>
          <w:sz w:val="18"/>
          <w:szCs w:val="18"/>
          <w:b w:val="1"/>
          <w:bCs w:val="1"/>
          <w:color w:val="auto"/>
        </w:rPr>
        <w:t>(x)</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Non-423 Component</w:t>
      </w:r>
      <w:r>
        <w:rPr>
          <w:rFonts w:ascii="Arial" w:cs="Arial" w:eastAsia="Arial" w:hAnsi="Arial"/>
          <w:sz w:val="18"/>
          <w:szCs w:val="18"/>
          <w:color w:val="auto"/>
        </w:rPr>
        <w:t>” means the part of the Plan, which excludes the 423 Component, pursuant to which Purchase Rights that are not</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satisfy the requirements for an Employee Stock Purchase Plan may be granted to Eligible Employees.</w:t>
      </w:r>
    </w:p>
    <w:p>
      <w:pPr>
        <w:spacing w:after="0" w:line="162" w:lineRule="exact"/>
        <w:rPr>
          <w:sz w:val="20"/>
          <w:szCs w:val="20"/>
          <w:color w:val="auto"/>
        </w:rPr>
      </w:pPr>
    </w:p>
    <w:p>
      <w:pPr>
        <w:jc w:val="both"/>
        <w:ind w:right="120" w:firstLine="645"/>
        <w:spacing w:after="0" w:line="264" w:lineRule="auto"/>
        <w:rPr>
          <w:sz w:val="20"/>
          <w:szCs w:val="20"/>
          <w:color w:val="auto"/>
        </w:rPr>
      </w:pPr>
      <w:r>
        <w:rPr>
          <w:rFonts w:ascii="Arial" w:cs="Arial" w:eastAsia="Arial" w:hAnsi="Arial"/>
          <w:sz w:val="18"/>
          <w:szCs w:val="18"/>
          <w:b w:val="1"/>
          <w:bCs w:val="1"/>
          <w:color w:val="auto"/>
        </w:rPr>
        <w:t>(y)</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means the grant to Eligible Employees of Purchase Rights, with the exercise of those Purchase Rights automatically occurring at</w:t>
      </w:r>
      <w:r>
        <w:rPr>
          <w:rFonts w:ascii="Arial" w:cs="Arial" w:eastAsia="Arial" w:hAnsi="Arial"/>
          <w:sz w:val="18"/>
          <w:szCs w:val="18"/>
          <w:b w:val="1"/>
          <w:bCs w:val="1"/>
          <w:color w:val="auto"/>
        </w:rPr>
        <w:t xml:space="preserve"> </w:t>
      </w:r>
      <w:r>
        <w:rPr>
          <w:rFonts w:ascii="Arial" w:cs="Arial" w:eastAsia="Arial" w:hAnsi="Arial"/>
          <w:sz w:val="18"/>
          <w:szCs w:val="18"/>
          <w:color w:val="auto"/>
        </w:rPr>
        <w:t>the end of one or more Purchase Periods. The terms and conditions of an Offering will generally be set forth in the “</w:t>
      </w:r>
      <w:r>
        <w:rPr>
          <w:rFonts w:ascii="Arial" w:cs="Arial" w:eastAsia="Arial" w:hAnsi="Arial"/>
          <w:sz w:val="18"/>
          <w:szCs w:val="18"/>
          <w:b w:val="1"/>
          <w:bCs w:val="1"/>
          <w:i w:val="1"/>
          <w:iCs w:val="1"/>
          <w:color w:val="auto"/>
        </w:rPr>
        <w:t>Offering Document</w:t>
      </w:r>
      <w:r>
        <w:rPr>
          <w:rFonts w:ascii="Arial" w:cs="Arial" w:eastAsia="Arial" w:hAnsi="Arial"/>
          <w:sz w:val="18"/>
          <w:szCs w:val="18"/>
          <w:color w:val="auto"/>
        </w:rPr>
        <w:t>” approved by the Board for that Offering.</w:t>
      </w:r>
    </w:p>
    <w:p>
      <w:pPr>
        <w:spacing w:after="0" w:line="177" w:lineRule="exact"/>
        <w:rPr>
          <w:sz w:val="20"/>
          <w:szCs w:val="20"/>
          <w:color w:val="auto"/>
        </w:rPr>
      </w:pPr>
    </w:p>
    <w:p>
      <w:pPr>
        <w:ind w:left="660"/>
        <w:spacing w:after="0"/>
        <w:tabs>
          <w:tab w:leader="none" w:pos="1080" w:val="left"/>
        </w:tabs>
        <w:rPr>
          <w:sz w:val="20"/>
          <w:szCs w:val="20"/>
          <w:color w:val="auto"/>
        </w:rPr>
      </w:pPr>
      <w:r>
        <w:rPr>
          <w:rFonts w:ascii="Arial" w:cs="Arial" w:eastAsia="Arial" w:hAnsi="Arial"/>
          <w:sz w:val="18"/>
          <w:szCs w:val="18"/>
          <w:b w:val="1"/>
          <w:bCs w:val="1"/>
          <w:color w:val="auto"/>
        </w:rPr>
        <w:t>(z)</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Offering Date</w:t>
      </w:r>
      <w:r>
        <w:rPr>
          <w:rFonts w:ascii="Arial" w:cs="Arial" w:eastAsia="Arial" w:hAnsi="Arial"/>
          <w:sz w:val="16"/>
          <w:szCs w:val="16"/>
          <w:color w:val="auto"/>
        </w:rPr>
        <w:t>” means a date selected by the Board for an Offering to commence.</w:t>
      </w:r>
    </w:p>
    <w:p>
      <w:pPr>
        <w:spacing w:after="0" w:line="223" w:lineRule="exact"/>
        <w:rPr>
          <w:sz w:val="20"/>
          <w:szCs w:val="20"/>
          <w:color w:val="auto"/>
        </w:rPr>
      </w:pPr>
    </w:p>
    <w:p>
      <w:pPr>
        <w:ind w:left="660"/>
        <w:spacing w:after="0"/>
        <w:tabs>
          <w:tab w:leader="none" w:pos="1180" w:val="left"/>
        </w:tabs>
        <w:rPr>
          <w:sz w:val="20"/>
          <w:szCs w:val="20"/>
          <w:color w:val="auto"/>
        </w:rPr>
      </w:pPr>
      <w:r>
        <w:rPr>
          <w:rFonts w:ascii="Arial" w:cs="Arial" w:eastAsia="Arial" w:hAnsi="Arial"/>
          <w:sz w:val="18"/>
          <w:szCs w:val="18"/>
          <w:b w:val="1"/>
          <w:bCs w:val="1"/>
          <w:color w:val="auto"/>
        </w:rPr>
        <w:t>(aa)</w:t>
      </w:r>
      <w:r>
        <w:rPr>
          <w:rFonts w:ascii="Arial" w:cs="Arial" w:eastAsia="Arial" w:hAnsi="Arial"/>
          <w:sz w:val="18"/>
          <w:szCs w:val="18"/>
          <w:color w:val="auto"/>
        </w:rPr>
        <w:t>“</w:t>
      </w:r>
      <w:r>
        <w:rPr>
          <w:sz w:val="20"/>
          <w:szCs w:val="20"/>
          <w:color w:val="auto"/>
        </w:rPr>
        <w:tab/>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means a person who is an officer of the Company or a Related Corporation within the meaning of Section 16 of the Exchange Act.</w:t>
      </w:r>
    </w:p>
    <w:p>
      <w:pPr>
        <w:spacing w:after="0" w:line="227" w:lineRule="exact"/>
        <w:rPr>
          <w:sz w:val="20"/>
          <w:szCs w:val="20"/>
          <w:color w:val="auto"/>
        </w:rPr>
      </w:pPr>
    </w:p>
    <w:p>
      <w:pPr>
        <w:ind w:left="5540" w:right="3880" w:hanging="4888"/>
        <w:spacing w:after="0" w:line="524" w:lineRule="auto"/>
        <w:tabs>
          <w:tab w:leader="none" w:pos="1200" w:val="left"/>
        </w:tabs>
        <w:numPr>
          <w:ilvl w:val="0"/>
          <w:numId w:val="134"/>
        </w:numPr>
        <w:rPr>
          <w:rFonts w:ascii="Arial" w:cs="Arial" w:eastAsia="Arial" w:hAnsi="Arial"/>
          <w:sz w:val="18"/>
          <w:szCs w:val="18"/>
          <w:b w:val="1"/>
          <w:bCs w:val="1"/>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means an Eligible Employee who holds an outstanding Purchase Right.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-86360</wp:posOffset>
            </wp:positionV>
            <wp:extent cx="713295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8">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20"/>
          </w:cols>
          <w:pgMar w:left="320" w:top="578" w:right="359" w:bottom="1440" w:gutter="0" w:footer="0" w:header="0"/>
        </w:sectPr>
      </w:pPr>
    </w:p>
    <w:bookmarkStart w:id="153" w:name="page154"/>
    <w:bookmarkEnd w:id="153"/>
    <w:p>
      <w:pPr>
        <w:ind w:right="80" w:firstLine="645"/>
        <w:spacing w:after="0" w:line="280" w:lineRule="auto"/>
        <w:rPr>
          <w:sz w:val="20"/>
          <w:szCs w:val="20"/>
          <w:color w:val="auto"/>
        </w:rPr>
      </w:pPr>
      <w:r>
        <w:rPr>
          <w:rFonts w:ascii="Arial" w:cs="Arial" w:eastAsia="Arial" w:hAnsi="Arial"/>
          <w:sz w:val="18"/>
          <w:szCs w:val="18"/>
          <w:b w:val="1"/>
          <w:bCs w:val="1"/>
          <w:color w:val="auto"/>
        </w:rPr>
        <w:t>(cc)</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means this KemPharm, Inc. 2021 Employee Stock Purchase Plan, as amended from time to time, including both the 423 Component</w:t>
      </w:r>
      <w:r>
        <w:rPr>
          <w:rFonts w:ascii="Arial" w:cs="Arial" w:eastAsia="Arial" w:hAnsi="Arial"/>
          <w:sz w:val="18"/>
          <w:szCs w:val="18"/>
          <w:b w:val="1"/>
          <w:bCs w:val="1"/>
          <w:color w:val="auto"/>
        </w:rPr>
        <w:t xml:space="preserve"> </w:t>
      </w:r>
      <w:r>
        <w:rPr>
          <w:rFonts w:ascii="Arial" w:cs="Arial" w:eastAsia="Arial" w:hAnsi="Arial"/>
          <w:sz w:val="18"/>
          <w:szCs w:val="18"/>
          <w:color w:val="auto"/>
        </w:rPr>
        <w:t>and the Non-423 Component.</w:t>
      </w:r>
    </w:p>
    <w:p>
      <w:pPr>
        <w:spacing w:after="0" w:line="162" w:lineRule="exact"/>
        <w:rPr>
          <w:sz w:val="20"/>
          <w:szCs w:val="20"/>
          <w:color w:val="auto"/>
        </w:rPr>
      </w:pPr>
    </w:p>
    <w:p>
      <w:pPr>
        <w:ind w:right="320" w:firstLine="645"/>
        <w:spacing w:after="0" w:line="280" w:lineRule="auto"/>
        <w:rPr>
          <w:sz w:val="20"/>
          <w:szCs w:val="20"/>
          <w:color w:val="auto"/>
        </w:rPr>
      </w:pPr>
      <w:r>
        <w:rPr>
          <w:rFonts w:ascii="Arial" w:cs="Arial" w:eastAsia="Arial" w:hAnsi="Arial"/>
          <w:sz w:val="18"/>
          <w:szCs w:val="18"/>
          <w:b w:val="1"/>
          <w:bCs w:val="1"/>
          <w:color w:val="auto"/>
        </w:rPr>
        <w:t>(dd)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Purchase Date</w:t>
      </w:r>
      <w:r>
        <w:rPr>
          <w:rFonts w:ascii="Arial" w:cs="Arial" w:eastAsia="Arial" w:hAnsi="Arial"/>
          <w:sz w:val="18"/>
          <w:szCs w:val="18"/>
          <w:color w:val="auto"/>
        </w:rPr>
        <w:t>” means one or more dates during an Offering selected by the Board on which Purchase Rights will be exercised and on</w:t>
      </w:r>
      <w:r>
        <w:rPr>
          <w:rFonts w:ascii="Arial" w:cs="Arial" w:eastAsia="Arial" w:hAnsi="Arial"/>
          <w:sz w:val="18"/>
          <w:szCs w:val="18"/>
          <w:b w:val="1"/>
          <w:bCs w:val="1"/>
          <w:color w:val="auto"/>
        </w:rPr>
        <w:t xml:space="preserve"> </w:t>
      </w:r>
      <w:r>
        <w:rPr>
          <w:rFonts w:ascii="Arial" w:cs="Arial" w:eastAsia="Arial" w:hAnsi="Arial"/>
          <w:sz w:val="18"/>
          <w:szCs w:val="18"/>
          <w:color w:val="auto"/>
        </w:rPr>
        <w:t>which purchases of shares of Common Stock will be carried out in accordance with such Offering.</w:t>
      </w:r>
    </w:p>
    <w:p>
      <w:pPr>
        <w:spacing w:after="0" w:line="162" w:lineRule="exact"/>
        <w:rPr>
          <w:sz w:val="20"/>
          <w:szCs w:val="20"/>
          <w:color w:val="auto"/>
        </w:rPr>
      </w:pPr>
    </w:p>
    <w:p>
      <w:pPr>
        <w:ind w:right="300" w:firstLine="645"/>
        <w:spacing w:after="0" w:line="280" w:lineRule="auto"/>
        <w:rPr>
          <w:sz w:val="20"/>
          <w:szCs w:val="20"/>
          <w:color w:val="auto"/>
        </w:rPr>
      </w:pPr>
      <w:r>
        <w:rPr>
          <w:rFonts w:ascii="Arial" w:cs="Arial" w:eastAsia="Arial" w:hAnsi="Arial"/>
          <w:sz w:val="18"/>
          <w:szCs w:val="18"/>
          <w:b w:val="1"/>
          <w:bCs w:val="1"/>
          <w:color w:val="auto"/>
        </w:rPr>
        <w:t>(ee)</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Purchase Period</w:t>
      </w:r>
      <w:r>
        <w:rPr>
          <w:rFonts w:ascii="Arial" w:cs="Arial" w:eastAsia="Arial" w:hAnsi="Arial"/>
          <w:sz w:val="18"/>
          <w:szCs w:val="18"/>
          <w:color w:val="auto"/>
        </w:rPr>
        <w:t>” means a period of time specified within an Offering, generally beginning on the Offering Date or on the first Trading</w:t>
      </w:r>
      <w:r>
        <w:rPr>
          <w:rFonts w:ascii="Arial" w:cs="Arial" w:eastAsia="Arial" w:hAnsi="Arial"/>
          <w:sz w:val="18"/>
          <w:szCs w:val="18"/>
          <w:b w:val="1"/>
          <w:bCs w:val="1"/>
          <w:color w:val="auto"/>
        </w:rPr>
        <w:t xml:space="preserve"> </w:t>
      </w:r>
      <w:r>
        <w:rPr>
          <w:rFonts w:ascii="Arial" w:cs="Arial" w:eastAsia="Arial" w:hAnsi="Arial"/>
          <w:sz w:val="18"/>
          <w:szCs w:val="18"/>
          <w:color w:val="auto"/>
        </w:rPr>
        <w:t>Day following a Purchase Date, and ending on a Purchase Date. An Offering may consist of one or more Purchase Periods.</w:t>
      </w:r>
    </w:p>
    <w:p>
      <w:pPr>
        <w:spacing w:after="0" w:line="162"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18"/>
          <w:szCs w:val="18"/>
          <w:b w:val="1"/>
          <w:bCs w:val="1"/>
          <w:color w:val="auto"/>
        </w:rPr>
        <w:t>(ff)</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Purchase Right</w:t>
      </w:r>
      <w:r>
        <w:rPr>
          <w:rFonts w:ascii="Arial" w:cs="Arial" w:eastAsia="Arial" w:hAnsi="Arial"/>
          <w:sz w:val="15"/>
          <w:szCs w:val="15"/>
          <w:color w:val="auto"/>
        </w:rPr>
        <w:t>” means an option to purchase shares of Common Stock granted pursuant to the Plan.</w:t>
      </w:r>
    </w:p>
    <w:p>
      <w:pPr>
        <w:spacing w:after="0" w:line="223" w:lineRule="exact"/>
        <w:rPr>
          <w:sz w:val="20"/>
          <w:szCs w:val="20"/>
          <w:color w:val="auto"/>
        </w:rPr>
      </w:pPr>
    </w:p>
    <w:p>
      <w:pPr>
        <w:ind w:right="740" w:firstLine="645"/>
        <w:spacing w:after="0" w:line="280" w:lineRule="auto"/>
        <w:rPr>
          <w:sz w:val="20"/>
          <w:szCs w:val="20"/>
          <w:color w:val="auto"/>
        </w:rPr>
      </w:pPr>
      <w:r>
        <w:rPr>
          <w:rFonts w:ascii="Arial" w:cs="Arial" w:eastAsia="Arial" w:hAnsi="Arial"/>
          <w:sz w:val="18"/>
          <w:szCs w:val="18"/>
          <w:b w:val="1"/>
          <w:bCs w:val="1"/>
          <w:color w:val="auto"/>
        </w:rPr>
        <w:t>(gg)</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Related Corporation</w:t>
      </w:r>
      <w:r>
        <w:rPr>
          <w:rFonts w:ascii="Arial" w:cs="Arial" w:eastAsia="Arial" w:hAnsi="Arial"/>
          <w:sz w:val="18"/>
          <w:szCs w:val="18"/>
          <w:color w:val="auto"/>
        </w:rPr>
        <w:t>” means any “parent corporation” or “subsidiary corporation” of the Company whether now or subsequently</w:t>
      </w:r>
      <w:r>
        <w:rPr>
          <w:rFonts w:ascii="Arial" w:cs="Arial" w:eastAsia="Arial" w:hAnsi="Arial"/>
          <w:sz w:val="18"/>
          <w:szCs w:val="18"/>
          <w:b w:val="1"/>
          <w:bCs w:val="1"/>
          <w:color w:val="auto"/>
        </w:rPr>
        <w:t xml:space="preserve"> </w:t>
      </w:r>
      <w:r>
        <w:rPr>
          <w:rFonts w:ascii="Arial" w:cs="Arial" w:eastAsia="Arial" w:hAnsi="Arial"/>
          <w:sz w:val="18"/>
          <w:szCs w:val="18"/>
          <w:color w:val="auto"/>
        </w:rPr>
        <w:t>established, as those terms are defined in Sections 424(e) and (f), respectively, of the Code.</w:t>
      </w:r>
    </w:p>
    <w:p>
      <w:pPr>
        <w:spacing w:after="0" w:line="162" w:lineRule="exact"/>
        <w:rPr>
          <w:sz w:val="20"/>
          <w:szCs w:val="20"/>
          <w:color w:val="auto"/>
        </w:rPr>
      </w:pPr>
    </w:p>
    <w:p>
      <w:pPr>
        <w:ind w:left="660"/>
        <w:spacing w:after="0"/>
        <w:tabs>
          <w:tab w:leader="none" w:pos="1200" w:val="left"/>
        </w:tabs>
        <w:rPr>
          <w:sz w:val="20"/>
          <w:szCs w:val="20"/>
          <w:color w:val="auto"/>
        </w:rPr>
      </w:pPr>
      <w:r>
        <w:rPr>
          <w:rFonts w:ascii="Arial" w:cs="Arial" w:eastAsia="Arial" w:hAnsi="Arial"/>
          <w:sz w:val="18"/>
          <w:szCs w:val="18"/>
          <w:b w:val="1"/>
          <w:bCs w:val="1"/>
          <w:color w:val="auto"/>
        </w:rPr>
        <w:t>(hh)</w:t>
      </w:r>
      <w:r>
        <w:rPr>
          <w:rFonts w:ascii="Arial" w:cs="Arial" w:eastAsia="Arial" w:hAnsi="Arial"/>
          <w:sz w:val="18"/>
          <w:szCs w:val="18"/>
          <w:color w:val="auto"/>
        </w:rPr>
        <w:t>“</w:t>
      </w:r>
      <w:r>
        <w:rPr>
          <w:sz w:val="20"/>
          <w:szCs w:val="20"/>
          <w:color w:val="auto"/>
        </w:rPr>
        <w:tab/>
      </w:r>
      <w:r>
        <w:rPr>
          <w:rFonts w:ascii="Arial" w:cs="Arial" w:eastAsia="Arial" w:hAnsi="Arial"/>
          <w:sz w:val="15"/>
          <w:szCs w:val="15"/>
          <w:b w:val="1"/>
          <w:bCs w:val="1"/>
          <w:i w:val="1"/>
          <w:iCs w:val="1"/>
          <w:color w:val="auto"/>
        </w:rPr>
        <w:t>Securities Act</w:t>
      </w:r>
      <w:r>
        <w:rPr>
          <w:rFonts w:ascii="Arial" w:cs="Arial" w:eastAsia="Arial" w:hAnsi="Arial"/>
          <w:sz w:val="15"/>
          <w:szCs w:val="15"/>
          <w:color w:val="auto"/>
        </w:rPr>
        <w:t>” means the U.S. Securities Act of 1933, as amended.</w:t>
      </w:r>
    </w:p>
    <w:p>
      <w:pPr>
        <w:spacing w:after="0" w:line="223" w:lineRule="exact"/>
        <w:rPr>
          <w:sz w:val="20"/>
          <w:szCs w:val="20"/>
          <w:color w:val="auto"/>
        </w:rPr>
      </w:pPr>
    </w:p>
    <w:p>
      <w:pPr>
        <w:ind w:firstLine="645"/>
        <w:spacing w:after="0" w:line="264" w:lineRule="auto"/>
        <w:rPr>
          <w:sz w:val="20"/>
          <w:szCs w:val="20"/>
          <w:color w:val="auto"/>
        </w:rPr>
      </w:pPr>
      <w:r>
        <w:rPr>
          <w:rFonts w:ascii="Arial" w:cs="Arial" w:eastAsia="Arial" w:hAnsi="Arial"/>
          <w:sz w:val="18"/>
          <w:szCs w:val="18"/>
          <w:b w:val="1"/>
          <w:bCs w:val="1"/>
          <w:color w:val="auto"/>
        </w:rPr>
        <w:t>(ii)</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Tax-Related Items</w:t>
      </w:r>
      <w:r>
        <w:rPr>
          <w:rFonts w:ascii="Arial" w:cs="Arial" w:eastAsia="Arial" w:hAnsi="Arial"/>
          <w:sz w:val="18"/>
          <w:szCs w:val="18"/>
          <w:color w:val="auto"/>
        </w:rPr>
        <w:t>” means any income tax, social insurance, payroll tax, fringe benefit tax, payment on account or other tax-related items</w:t>
      </w:r>
      <w:r>
        <w:rPr>
          <w:rFonts w:ascii="Arial" w:cs="Arial" w:eastAsia="Arial" w:hAnsi="Arial"/>
          <w:sz w:val="18"/>
          <w:szCs w:val="18"/>
          <w:b w:val="1"/>
          <w:bCs w:val="1"/>
          <w:color w:val="auto"/>
        </w:rPr>
        <w:t xml:space="preserve"> </w:t>
      </w:r>
      <w:r>
        <w:rPr>
          <w:rFonts w:ascii="Arial" w:cs="Arial" w:eastAsia="Arial" w:hAnsi="Arial"/>
          <w:sz w:val="18"/>
          <w:szCs w:val="18"/>
          <w:color w:val="auto"/>
        </w:rPr>
        <w:t>arising out of or in relation to a Participant’s participation in the Plan, including, but not limited to, the exercise of a Purchase Right and the receipt of shares of Common Stock or the sale or other disposition of shares of Common Stock acquired under the Plan.</w:t>
      </w:r>
    </w:p>
    <w:p>
      <w:pPr>
        <w:spacing w:after="0" w:line="177" w:lineRule="exact"/>
        <w:rPr>
          <w:sz w:val="20"/>
          <w:szCs w:val="20"/>
          <w:color w:val="auto"/>
        </w:rPr>
      </w:pPr>
    </w:p>
    <w:p>
      <w:pPr>
        <w:ind w:right="20" w:firstLine="645"/>
        <w:spacing w:after="0" w:line="264" w:lineRule="auto"/>
        <w:rPr>
          <w:sz w:val="20"/>
          <w:szCs w:val="20"/>
          <w:color w:val="auto"/>
        </w:rPr>
      </w:pPr>
      <w:r>
        <w:rPr>
          <w:rFonts w:ascii="Arial" w:cs="Arial" w:eastAsia="Arial" w:hAnsi="Arial"/>
          <w:sz w:val="18"/>
          <w:szCs w:val="18"/>
          <w:b w:val="1"/>
          <w:bCs w:val="1"/>
          <w:color w:val="auto"/>
        </w:rPr>
        <w:t>(jj)</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means any day on which the exchange(s) or market(s) on which shares of Common Stock are listed, including but not limited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New York Stock Exchange, Nasdaq Global Select Market, the Nasdaq Global Market, the Nasdaq Capital Market or any successors thereto, is open for trading.</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578" w:right="3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31.1</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Travis C. Mickle, certify that:</w:t>
      </w:r>
    </w:p>
    <w:p>
      <w:pPr>
        <w:spacing w:after="0" w:line="223" w:lineRule="exact"/>
        <w:rPr>
          <w:sz w:val="20"/>
          <w:szCs w:val="20"/>
          <w:color w:val="auto"/>
        </w:rPr>
      </w:pPr>
    </w:p>
    <w:p>
      <w:pPr>
        <w:ind w:left="880" w:hanging="429"/>
        <w:spacing w:after="0"/>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1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1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August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ectPr>
          <w:pgSz w:w="11900" w:h="16838" w:orient="portrait"/>
          <w:cols w:equalWidth="0" w:num="1">
            <w:col w:w="11240"/>
          </w:cols>
          <w:pgMar w:left="320" w:top="12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31.2</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I, R. LaDuane Clifton, certify that:</w:t>
      </w:r>
    </w:p>
    <w:p>
      <w:pPr>
        <w:spacing w:after="0" w:line="223" w:lineRule="exact"/>
        <w:rPr>
          <w:sz w:val="20"/>
          <w:szCs w:val="20"/>
          <w:color w:val="auto"/>
        </w:rPr>
      </w:pPr>
    </w:p>
    <w:p>
      <w:pPr>
        <w:ind w:left="880" w:hanging="429"/>
        <w:spacing w:after="0"/>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KemPharm, Inc.;</w:t>
      </w:r>
    </w:p>
    <w:p>
      <w:pPr>
        <w:spacing w:after="0" w:line="22" w:lineRule="exact"/>
        <w:rPr>
          <w:rFonts w:ascii="Arial" w:cs="Arial" w:eastAsia="Arial" w:hAnsi="Arial"/>
          <w:sz w:val="18"/>
          <w:szCs w:val="18"/>
          <w:color w:val="auto"/>
        </w:rPr>
      </w:pPr>
    </w:p>
    <w:p>
      <w:pPr>
        <w:jc w:val="both"/>
        <w:ind w:left="880" w:hanging="429"/>
        <w:spacing w:after="0" w:line="249" w:lineRule="auto"/>
        <w:tabs>
          <w:tab w:leader="none" w:pos="8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880" w:hanging="429"/>
        <w:spacing w:after="0" w:line="263" w:lineRule="auto"/>
        <w:tabs>
          <w:tab w:leader="none" w:pos="8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 w:lineRule="exact"/>
        <w:rPr>
          <w:rFonts w:ascii="Arial" w:cs="Arial" w:eastAsia="Arial" w:hAnsi="Arial"/>
          <w:sz w:val="17"/>
          <w:szCs w:val="17"/>
          <w:color w:val="auto"/>
        </w:rPr>
      </w:pPr>
    </w:p>
    <w:p>
      <w:pPr>
        <w:jc w:val="both"/>
        <w:ind w:left="880" w:hanging="429"/>
        <w:spacing w:after="0" w:line="280"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880"/>
        <w:spacing w:after="0"/>
        <w:rPr>
          <w:rFonts w:ascii="Arial" w:cs="Arial" w:eastAsia="Arial" w:hAnsi="Arial"/>
          <w:sz w:val="16"/>
          <w:szCs w:val="16"/>
          <w:color w:val="auto"/>
        </w:rPr>
      </w:pPr>
      <w:r>
        <w:rPr>
          <w:rFonts w:ascii="Arial" w:cs="Arial" w:eastAsia="Arial" w:hAnsi="Arial"/>
          <w:sz w:val="18"/>
          <w:szCs w:val="18"/>
          <w:color w:val="auto"/>
        </w:rPr>
        <w:t>15d-15(f)) for the registrant and have:</w:t>
      </w:r>
    </w:p>
    <w:p>
      <w:pPr>
        <w:spacing w:after="0" w:line="8" w:lineRule="exact"/>
        <w:rPr>
          <w:rFonts w:ascii="Arial" w:cs="Arial" w:eastAsia="Arial" w:hAnsi="Arial"/>
          <w:sz w:val="16"/>
          <w:szCs w:val="16"/>
          <w:color w:val="auto"/>
        </w:rPr>
      </w:pPr>
    </w:p>
    <w:p>
      <w:pPr>
        <w:jc w:val="both"/>
        <w:ind w:left="1320" w:hanging="439"/>
        <w:spacing w:after="0" w:line="249" w:lineRule="auto"/>
        <w:tabs>
          <w:tab w:leader="none" w:pos="13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jc w:val="both"/>
        <w:ind w:left="1320" w:hanging="439"/>
        <w:spacing w:after="0" w:line="249" w:lineRule="auto"/>
        <w:tabs>
          <w:tab w:leader="none" w:pos="13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320" w:hanging="439"/>
        <w:spacing w:after="0" w:line="280" w:lineRule="auto"/>
        <w:tabs>
          <w:tab w:leader="none" w:pos="1320" w:val="left"/>
        </w:tabs>
        <w:numPr>
          <w:ilvl w:val="1"/>
          <w:numId w:val="13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left="1320" w:hanging="439"/>
        <w:spacing w:after="0" w:line="249" w:lineRule="auto"/>
        <w:tabs>
          <w:tab w:leader="none" w:pos="13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ind w:left="880" w:hanging="429"/>
        <w:spacing w:after="0" w:line="280" w:lineRule="auto"/>
        <w:tabs>
          <w:tab w:leader="none" w:pos="8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320" w:hanging="439"/>
        <w:spacing w:after="0" w:line="263" w:lineRule="auto"/>
        <w:tabs>
          <w:tab w:leader="none" w:pos="1320" w:val="left"/>
        </w:tabs>
        <w:numPr>
          <w:ilvl w:val="1"/>
          <w:numId w:val="1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7"/>
          <w:szCs w:val="17"/>
          <w:color w:val="auto"/>
        </w:rPr>
      </w:pPr>
    </w:p>
    <w:p>
      <w:pPr>
        <w:ind w:left="1320" w:hanging="439"/>
        <w:spacing w:after="0" w:line="258" w:lineRule="auto"/>
        <w:tabs>
          <w:tab w:leader="none" w:pos="13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August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ectPr>
          <w:pgSz w:w="11900" w:h="16838" w:orient="portrait"/>
          <w:cols w:equalWidth="0" w:num="1">
            <w:col w:w="11240"/>
          </w:cols>
          <w:pgMar w:left="320" w:top="121" w:right="3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color w:val="auto"/>
        </w:rPr>
        <w:t>EXHIBIT 32.1</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EXECUTIVE OFFICER PURSUANT TO 18 U.S.C. SECTION 1350, AS ADOPTED PURSUANT TO SECTION 906 OF THE SARBANES-OXLEY ACT OF 2002</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June 30, 2021, as filed with the Securities and Exchange Commission on the date hereof (the “Report”), I, Travis C. Mickle, Principal Executive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August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C. Mickle</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Name:Travis C. Mickle, Ph.D.</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color w:val="auto"/>
        </w:rPr>
        <w:t>EXHIBIT 32.2</w:t>
      </w:r>
    </w:p>
    <w:p>
      <w:pPr>
        <w:spacing w:after="0" w:line="227" w:lineRule="exact"/>
        <w:rPr>
          <w:sz w:val="20"/>
          <w:szCs w:val="20"/>
          <w:color w:val="auto"/>
        </w:rPr>
      </w:pPr>
    </w:p>
    <w:p>
      <w:pPr>
        <w:jc w:val="center"/>
        <w:spacing w:after="0" w:line="284" w:lineRule="auto"/>
        <w:rPr>
          <w:sz w:val="20"/>
          <w:szCs w:val="20"/>
          <w:color w:val="auto"/>
        </w:rPr>
      </w:pPr>
      <w:r>
        <w:rPr>
          <w:rFonts w:ascii="Arial" w:cs="Arial" w:eastAsia="Arial" w:hAnsi="Arial"/>
          <w:sz w:val="17"/>
          <w:szCs w:val="17"/>
          <w:color w:val="auto"/>
        </w:rPr>
        <w:t>CERTIFICATION OF THE PRINCIPAL FINANCIAL OFFICER PURSUANT TO 18 U.S.C. SECTION 1350, AS ADOPTED PURSUANT TO SECTION 906 OF THE SARBANES-OXLEY ACT OF 2002</w:t>
      </w:r>
    </w:p>
    <w:p>
      <w:pPr>
        <w:spacing w:after="0" w:line="166" w:lineRule="exact"/>
        <w:rPr>
          <w:sz w:val="20"/>
          <w:szCs w:val="20"/>
          <w:color w:val="auto"/>
        </w:rPr>
      </w:pPr>
    </w:p>
    <w:p>
      <w:pPr>
        <w:jc w:val="both"/>
        <w:spacing w:after="0" w:line="284" w:lineRule="auto"/>
        <w:rPr>
          <w:sz w:val="20"/>
          <w:szCs w:val="20"/>
          <w:color w:val="auto"/>
        </w:rPr>
      </w:pPr>
      <w:r>
        <w:rPr>
          <w:rFonts w:ascii="Arial" w:cs="Arial" w:eastAsia="Arial" w:hAnsi="Arial"/>
          <w:sz w:val="17"/>
          <w:szCs w:val="17"/>
          <w:color w:val="auto"/>
        </w:rPr>
        <w:t>In connection with the Quarterly Report on Form 10-Q of KemPharm, Inc., (the “Company”) for the quarterly period ended June 30, 2021, as filed with the Securities and Exchange Commission on the date hereof (the “Report”), I, R. LaDuane Clifton, Principal Financial Officer of the Company, certify, pursuant to 18 U.S.C. Section 1350, as adopted pursuant to Section 906 of the Sarbanes-Oxley Act of 2002, that, to my knowledge:</w:t>
      </w:r>
    </w:p>
    <w:p>
      <w:pPr>
        <w:spacing w:after="0" w:line="166" w:lineRule="exact"/>
        <w:rPr>
          <w:sz w:val="20"/>
          <w:szCs w:val="20"/>
          <w:color w:val="auto"/>
        </w:rPr>
      </w:pPr>
    </w:p>
    <w:p>
      <w:pPr>
        <w:ind w:left="880" w:hanging="429"/>
        <w:spacing w:after="0"/>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 w:lineRule="exact"/>
        <w:rPr>
          <w:rFonts w:ascii="Arial" w:cs="Arial" w:eastAsia="Arial" w:hAnsi="Arial"/>
          <w:sz w:val="18"/>
          <w:szCs w:val="18"/>
          <w:color w:val="auto"/>
        </w:rPr>
      </w:pPr>
    </w:p>
    <w:p>
      <w:pPr>
        <w:ind w:left="880" w:hanging="429"/>
        <w:spacing w:after="0" w:line="258" w:lineRule="auto"/>
        <w:tabs>
          <w:tab w:leader="none" w:pos="8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80" w:type="dxa"/>
            <w:vAlign w:val="bottom"/>
          </w:tcPr>
          <w:p>
            <w:pPr>
              <w:spacing w:after="0"/>
              <w:rPr>
                <w:sz w:val="20"/>
                <w:szCs w:val="20"/>
                <w:color w:val="auto"/>
              </w:rPr>
            </w:pPr>
            <w:r>
              <w:rPr>
                <w:rFonts w:ascii="Arial" w:cs="Arial" w:eastAsia="Arial" w:hAnsi="Arial"/>
                <w:sz w:val="18"/>
                <w:szCs w:val="18"/>
                <w:color w:val="auto"/>
              </w:rPr>
              <w:t>August 13, 2021</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 LaDuane Clifton</w:t>
            </w:r>
          </w:p>
        </w:tc>
      </w:tr>
      <w:tr>
        <w:trPr>
          <w:trHeight w:val="194"/>
        </w:trPr>
        <w:tc>
          <w:tcPr>
            <w:tcW w:w="598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Name:R. LaDuane Clifton, CPA</w:t>
            </w:r>
          </w:p>
        </w:tc>
      </w:tr>
      <w:tr>
        <w:trPr>
          <w:trHeight w:val="215"/>
        </w:trPr>
        <w:tc>
          <w:tcPr>
            <w:tcW w:w="5980" w:type="dxa"/>
            <w:vAlign w:val="bottom"/>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Title: Chief Financial Officer, Secretary and Treasurer</w:t>
            </w:r>
          </w:p>
        </w:tc>
      </w:tr>
      <w:tr>
        <w:trPr>
          <w:trHeight w:val="230"/>
        </w:trPr>
        <w:tc>
          <w:tcPr>
            <w:tcW w:w="5980" w:type="dxa"/>
            <w:vAlign w:val="bottom"/>
          </w:tcPr>
          <w:p>
            <w:pPr>
              <w:spacing w:after="0"/>
              <w:rPr>
                <w:sz w:val="19"/>
                <w:szCs w:val="19"/>
                <w:color w:val="auto"/>
              </w:rPr>
            </w:pPr>
          </w:p>
        </w:tc>
        <w:tc>
          <w:tcPr>
            <w:tcW w:w="5260" w:type="dxa"/>
            <w:vAlign w:val="bottom"/>
          </w:tcPr>
          <w:p>
            <w:pPr>
              <w:ind w:left="480"/>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foregoing certification is being furnished solely pursuant to 18 U.S.C. Section 1350, is not being "filed" by the Company as part of the Report or as a separate disclosure document and is not to be incorporated by reference into any filing of the Company under the Securities Act of 1933, as amended, or the Securities Exchange Act of 1934, as amended (whether made before or after the date of the Report),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5014ACB"/>
    <w:multiLevelType w:val="hybridMultilevel"/>
    <w:lvl w:ilvl="0">
      <w:lvlJc w:val="left"/>
      <w:lvlText w:val="☒"/>
      <w:numFmt w:val="bullet"/>
      <w:start w:val="1"/>
    </w:lvl>
  </w:abstractNum>
  <w:abstractNum w:abstractNumId="1">
    <w:nsid w:val="5F5E7FD0"/>
    <w:multiLevelType w:val="hybridMultilevel"/>
    <w:lvl w:ilvl="0">
      <w:lvlJc w:val="left"/>
      <w:lvlText w:val="☐"/>
      <w:numFmt w:val="bullet"/>
      <w:start w:val="1"/>
    </w:lvl>
  </w:abstractNum>
  <w:abstractNum w:abstractNumId="2">
    <w:nsid w:val="98A3148"/>
    <w:multiLevelType w:val="hybridMultilevel"/>
    <w:lvl w:ilvl="0">
      <w:lvlJc w:val="left"/>
      <w:lvlText w:val="%1."/>
      <w:numFmt w:val="upperLetter"/>
      <w:start w:val="1"/>
    </w:lvl>
  </w:abstractNum>
  <w:abstractNum w:abstractNumId="3">
    <w:nsid w:val="799D0247"/>
    <w:multiLevelType w:val="hybridMultilevel"/>
    <w:lvl w:ilvl="0">
      <w:lvlJc w:val="left"/>
      <w:lvlText w:val="%1."/>
      <w:numFmt w:val="upperLetter"/>
      <w:start w:val="2"/>
    </w:lvl>
  </w:abstractNum>
  <w:abstractNum w:abstractNumId="4">
    <w:nsid w:val="6B94764"/>
    <w:multiLevelType w:val="hybridMultilevel"/>
    <w:lvl w:ilvl="0">
      <w:lvlJc w:val="left"/>
      <w:lvlText w:val="%1."/>
      <w:numFmt w:val="upperLetter"/>
      <w:start w:val="3"/>
    </w:lvl>
  </w:abstractNum>
  <w:abstractNum w:abstractNumId="5">
    <w:nsid w:val="42C296BD"/>
    <w:multiLevelType w:val="hybridMultilevel"/>
    <w:lvl w:ilvl="0">
      <w:lvlJc w:val="left"/>
      <w:lvlText w:val="(%1)"/>
      <w:numFmt w:val="lowerRoman"/>
      <w:start w:val="1"/>
    </w:lvl>
  </w:abstractNum>
  <w:abstractNum w:abstractNumId="6">
    <w:nsid w:val="168E121F"/>
    <w:multiLevelType w:val="hybridMultilevel"/>
    <w:lvl w:ilvl="0">
      <w:lvlJc w:val="left"/>
      <w:lvlText w:val="●"/>
      <w:numFmt w:val="bullet"/>
      <w:start w:val="1"/>
    </w:lvl>
  </w:abstractNum>
  <w:abstractNum w:abstractNumId="7">
    <w:nsid w:val="1EBA5D23"/>
    <w:multiLevelType w:val="hybridMultilevel"/>
    <w:lvl w:ilvl="0">
      <w:lvlJc w:val="left"/>
      <w:lvlText w:val="●"/>
      <w:numFmt w:val="bullet"/>
      <w:start w:val="1"/>
    </w:lvl>
  </w:abstractNum>
  <w:abstractNum w:abstractNumId="8">
    <w:nsid w:val="661E3F1E"/>
    <w:multiLevelType w:val="hybridMultilevel"/>
    <w:lvl w:ilvl="0">
      <w:lvlJc w:val="left"/>
      <w:lvlText w:val="(%1)"/>
      <w:numFmt w:val="lowerRoman"/>
      <w:start w:val="1"/>
    </w:lvl>
  </w:abstractNum>
  <w:abstractNum w:abstractNumId="9">
    <w:nsid w:val="5DC79EA8"/>
    <w:multiLevelType w:val="hybridMultilevel"/>
    <w:lvl w:ilvl="0">
      <w:lvlJc w:val="left"/>
      <w:lvlText w:val="%1"/>
      <w:numFmt w:val="upperLetter"/>
      <w:start w:val="68"/>
    </w:lvl>
  </w:abstractNum>
  <w:abstractNum w:abstractNumId="10">
    <w:nsid w:val="540A471C"/>
    <w:multiLevelType w:val="hybridMultilevel"/>
    <w:lvl w:ilvl="0">
      <w:lvlJc w:val="left"/>
      <w:lvlText w:val="%1."/>
      <w:numFmt w:val="upperLetter"/>
      <w:start w:val="4"/>
    </w:lvl>
  </w:abstractNum>
  <w:abstractNum w:abstractNumId="11">
    <w:nsid w:val="7BD3EE7B"/>
    <w:multiLevelType w:val="hybridMultilevel"/>
    <w:lvl w:ilvl="0">
      <w:lvlJc w:val="left"/>
      <w:lvlText w:val="%1."/>
      <w:numFmt w:val="upperLetter"/>
      <w:start w:val="5"/>
    </w:lvl>
  </w:abstractNum>
  <w:abstractNum w:abstractNumId="12">
    <w:nsid w:val="51D9C564"/>
    <w:multiLevelType w:val="hybridMultilevel"/>
    <w:lvl w:ilvl="0">
      <w:lvlJc w:val="left"/>
      <w:lvlText w:val="●"/>
      <w:numFmt w:val="bullet"/>
      <w:start w:val="1"/>
    </w:lvl>
  </w:abstractNum>
  <w:abstractNum w:abstractNumId="13">
    <w:nsid w:val="613EFDC5"/>
    <w:multiLevelType w:val="hybridMultilevel"/>
    <w:lvl w:ilvl="0">
      <w:lvlJc w:val="left"/>
      <w:lvlText w:val="%1."/>
      <w:numFmt w:val="upperLetter"/>
      <w:start w:val="6"/>
    </w:lvl>
  </w:abstractNum>
  <w:abstractNum w:abstractNumId="14">
    <w:nsid w:val="BF72B14"/>
    <w:multiLevelType w:val="hybridMultilevel"/>
    <w:lvl w:ilvl="0">
      <w:lvlJc w:val="left"/>
      <w:lvlText w:val="%1."/>
      <w:numFmt w:val="upperLetter"/>
      <w:start w:val="7"/>
    </w:lvl>
  </w:abstractNum>
  <w:abstractNum w:abstractNumId="15">
    <w:nsid w:val="11447B73"/>
    <w:multiLevelType w:val="hybridMultilevel"/>
    <w:lvl w:ilvl="0">
      <w:lvlJc w:val="left"/>
      <w:lvlText w:val="%1."/>
      <w:numFmt w:val="upperLetter"/>
      <w:start w:val="8"/>
    </w:lvl>
  </w:abstractNum>
  <w:abstractNum w:abstractNumId="16">
    <w:nsid w:val="42963E5A"/>
    <w:multiLevelType w:val="hybridMultilevel"/>
    <w:lvl w:ilvl="0">
      <w:lvlJc w:val="left"/>
      <w:lvlText w:val="●"/>
      <w:numFmt w:val="bullet"/>
      <w:start w:val="1"/>
    </w:lvl>
  </w:abstractNum>
  <w:abstractNum w:abstractNumId="17">
    <w:nsid w:val="A0382C5"/>
    <w:multiLevelType w:val="hybridMultilevel"/>
    <w:lvl w:ilvl="0">
      <w:lvlJc w:val="left"/>
      <w:lvlText w:val="%1."/>
      <w:numFmt w:val="upperLetter"/>
      <w:start w:val="9"/>
    </w:lvl>
  </w:abstractNum>
  <w:abstractNum w:abstractNumId="18">
    <w:nsid w:val="8F2B15E"/>
    <w:multiLevelType w:val="hybridMultilevel"/>
    <w:lvl w:ilvl="0">
      <w:lvlJc w:val="left"/>
      <w:lvlText w:val="*"/>
      <w:numFmt w:val="bullet"/>
      <w:start w:val="1"/>
    </w:lvl>
  </w:abstractNum>
  <w:abstractNum w:abstractNumId="19">
    <w:nsid w:val="1A32234B"/>
    <w:multiLevelType w:val="hybridMultilevel"/>
    <w:lvl w:ilvl="0">
      <w:lvlJc w:val="left"/>
      <w:lvlText w:val="%1."/>
      <w:numFmt w:val="upperLetter"/>
      <w:start w:val="10"/>
    </w:lvl>
  </w:abstractNum>
  <w:abstractNum w:abstractNumId="20">
    <w:nsid w:val="3B0FD379"/>
    <w:multiLevelType w:val="hybridMultilevel"/>
    <w:lvl w:ilvl="0">
      <w:lvlJc w:val="left"/>
      <w:lvlText w:val="%1."/>
      <w:numFmt w:val="upperLetter"/>
      <w:start w:val="11"/>
    </w:lvl>
  </w:abstractNum>
  <w:abstractNum w:abstractNumId="21">
    <w:nsid w:val="68EB2F63"/>
    <w:multiLevelType w:val="hybridMultilevel"/>
    <w:lvl w:ilvl="0">
      <w:lvlJc w:val="left"/>
      <w:lvlText w:val="%1."/>
      <w:numFmt w:val="upperLetter"/>
      <w:start w:val="12"/>
    </w:lvl>
  </w:abstractNum>
  <w:abstractNum w:abstractNumId="22">
    <w:nsid w:val="4962813B"/>
    <w:multiLevelType w:val="hybridMultilevel"/>
    <w:lvl w:ilvl="0">
      <w:lvlJc w:val="left"/>
      <w:lvlText w:val="●"/>
      <w:numFmt w:val="bullet"/>
      <w:start w:val="1"/>
    </w:lvl>
  </w:abstractNum>
  <w:abstractNum w:abstractNumId="23">
    <w:nsid w:val="60B6DF70"/>
    <w:multiLevelType w:val="hybridMultilevel"/>
    <w:lvl w:ilvl="0">
      <w:lvlJc w:val="left"/>
      <w:lvlText w:val="●"/>
      <w:numFmt w:val="bullet"/>
      <w:start w:val="1"/>
    </w:lvl>
  </w:abstractNum>
  <w:abstractNum w:abstractNumId="24">
    <w:nsid w:val="6A5EE64"/>
    <w:multiLevelType w:val="hybridMultilevel"/>
    <w:lvl w:ilvl="0">
      <w:lvlJc w:val="left"/>
      <w:lvlText w:val="●"/>
      <w:numFmt w:val="bullet"/>
      <w:start w:val="1"/>
    </w:lvl>
  </w:abstractNum>
  <w:abstractNum w:abstractNumId="25">
    <w:nsid w:val="14330624"/>
    <w:multiLevelType w:val="hybridMultilevel"/>
    <w:lvl w:ilvl="0">
      <w:lvlJc w:val="left"/>
      <w:lvlText w:val="●"/>
      <w:numFmt w:val="bullet"/>
      <w:start w:val="1"/>
    </w:lvl>
  </w:abstractNum>
  <w:abstractNum w:abstractNumId="26">
    <w:nsid w:val="7FFFCA11"/>
    <w:multiLevelType w:val="hybridMultilevel"/>
    <w:lvl w:ilvl="0">
      <w:lvlJc w:val="left"/>
      <w:lvlText w:val="●"/>
      <w:numFmt w:val="bullet"/>
      <w:start w:val="1"/>
    </w:lvl>
  </w:abstractNum>
  <w:abstractNum w:abstractNumId="27">
    <w:nsid w:val="1A27709E"/>
    <w:multiLevelType w:val="hybridMultilevel"/>
    <w:lvl w:ilvl="0">
      <w:lvlJc w:val="left"/>
      <w:lvlText w:val="*"/>
      <w:numFmt w:val="bullet"/>
      <w:start w:val="1"/>
    </w:lvl>
  </w:abstractNum>
  <w:abstractNum w:abstractNumId="28">
    <w:nsid w:val="71EA1109"/>
    <w:multiLevelType w:val="hybridMultilevel"/>
    <w:lvl w:ilvl="0">
      <w:lvlJc w:val="left"/>
      <w:lvlText w:val="(%1)"/>
      <w:numFmt w:val="lowerLetter"/>
      <w:start w:val="1"/>
    </w:lvl>
  </w:abstractNum>
  <w:abstractNum w:abstractNumId="29">
    <w:nsid w:val="100F59DC"/>
    <w:multiLevelType w:val="hybridMultilevel"/>
    <w:lvl w:ilvl="0">
      <w:lvlJc w:val="left"/>
      <w:lvlText w:val="●"/>
      <w:numFmt w:val="bullet"/>
      <w:start w:val="1"/>
    </w:lvl>
  </w:abstractNum>
  <w:abstractNum w:abstractNumId="30">
    <w:nsid w:val="7FB7E0AA"/>
    <w:multiLevelType w:val="hybridMultilevel"/>
    <w:lvl w:ilvl="0">
      <w:lvlJc w:val="left"/>
      <w:lvlText w:val="●"/>
      <w:numFmt w:val="bullet"/>
      <w:start w:val="1"/>
    </w:lvl>
  </w:abstractNum>
  <w:abstractNum w:abstractNumId="31">
    <w:nsid w:val="6EB5BD4"/>
    <w:multiLevelType w:val="hybridMultilevel"/>
    <w:lvl w:ilvl="0">
      <w:lvlJc w:val="left"/>
      <w:lvlText w:val="●"/>
      <w:numFmt w:val="bullet"/>
      <w:start w:val="1"/>
    </w:lvl>
  </w:abstractNum>
  <w:abstractNum w:abstractNumId="32">
    <w:nsid w:val="6F6DD9AC"/>
    <w:multiLevelType w:val="hybridMultilevel"/>
    <w:lvl w:ilvl="0">
      <w:lvlJc w:val="left"/>
      <w:lvlText w:val="●"/>
      <w:numFmt w:val="bullet"/>
      <w:start w:val="1"/>
    </w:lvl>
  </w:abstractNum>
  <w:abstractNum w:abstractNumId="33">
    <w:nsid w:val="94211F2"/>
    <w:multiLevelType w:val="hybridMultilevel"/>
    <w:lvl w:ilvl="0">
      <w:lvlJc w:val="left"/>
      <w:lvlText w:val="●"/>
      <w:numFmt w:val="bullet"/>
      <w:start w:val="1"/>
    </w:lvl>
  </w:abstractNum>
  <w:abstractNum w:abstractNumId="34">
    <w:nsid w:val="885E1B"/>
    <w:multiLevelType w:val="hybridMultilevel"/>
    <w:lvl w:ilvl="0">
      <w:lvlJc w:val="left"/>
      <w:lvlText w:val="●"/>
      <w:numFmt w:val="bullet"/>
      <w:start w:val="1"/>
    </w:lvl>
  </w:abstractNum>
  <w:abstractNum w:abstractNumId="35">
    <w:nsid w:val="76272110"/>
    <w:multiLevelType w:val="hybridMultilevel"/>
    <w:lvl w:ilvl="0">
      <w:lvlJc w:val="left"/>
      <w:lvlText w:val="●"/>
      <w:numFmt w:val="bullet"/>
      <w:start w:val="1"/>
    </w:lvl>
  </w:abstractNum>
  <w:abstractNum w:abstractNumId="36">
    <w:nsid w:val="4C04A8AF"/>
    <w:multiLevelType w:val="hybridMultilevel"/>
    <w:lvl w:ilvl="0">
      <w:lvlJc w:val="left"/>
      <w:lvlText w:val="●"/>
      <w:numFmt w:val="bullet"/>
      <w:start w:val="1"/>
    </w:lvl>
  </w:abstractNum>
  <w:abstractNum w:abstractNumId="37">
    <w:nsid w:val="1716703B"/>
    <w:multiLevelType w:val="hybridMultilevel"/>
    <w:lvl w:ilvl="0">
      <w:lvlJc w:val="left"/>
      <w:lvlText w:val="●"/>
      <w:numFmt w:val="bullet"/>
      <w:start w:val="1"/>
    </w:lvl>
  </w:abstractNum>
  <w:abstractNum w:abstractNumId="38">
    <w:nsid w:val="14E17E33"/>
    <w:multiLevelType w:val="hybridMultilevel"/>
    <w:lvl w:ilvl="0">
      <w:lvlJc w:val="left"/>
      <w:lvlText w:val="●"/>
      <w:numFmt w:val="bullet"/>
      <w:start w:val="1"/>
    </w:lvl>
  </w:abstractNum>
  <w:abstractNum w:abstractNumId="39">
    <w:nsid w:val="3222E7CD"/>
    <w:multiLevelType w:val="hybridMultilevel"/>
    <w:lvl w:ilvl="0">
      <w:lvlJc w:val="left"/>
      <w:lvlText w:val="●"/>
      <w:numFmt w:val="bullet"/>
      <w:start w:val="1"/>
    </w:lvl>
  </w:abstractNum>
  <w:abstractNum w:abstractNumId="40">
    <w:nsid w:val="74DE0EE3"/>
    <w:multiLevelType w:val="hybridMultilevel"/>
    <w:lvl w:ilvl="0">
      <w:lvlJc w:val="left"/>
      <w:lvlText w:val="●"/>
      <w:numFmt w:val="bullet"/>
      <w:start w:val="1"/>
    </w:lvl>
  </w:abstractNum>
  <w:abstractNum w:abstractNumId="41">
    <w:nsid w:val="68EBC550"/>
    <w:multiLevelType w:val="hybridMultilevel"/>
    <w:lvl w:ilvl="0">
      <w:lvlJc w:val="left"/>
      <w:lvlText w:val="●"/>
      <w:numFmt w:val="bullet"/>
      <w:start w:val="1"/>
    </w:lvl>
  </w:abstractNum>
  <w:abstractNum w:abstractNumId="42">
    <w:nsid w:val="2DF6D648"/>
    <w:multiLevelType w:val="hybridMultilevel"/>
    <w:lvl w:ilvl="0">
      <w:lvlJc w:val="left"/>
      <w:lvlText w:val="●"/>
      <w:numFmt w:val="bullet"/>
      <w:start w:val="1"/>
    </w:lvl>
  </w:abstractNum>
  <w:abstractNum w:abstractNumId="43">
    <w:nsid w:val="46B7D447"/>
    <w:multiLevelType w:val="hybridMultilevel"/>
    <w:lvl w:ilvl="0">
      <w:lvlJc w:val="left"/>
      <w:lvlText w:val="●"/>
      <w:numFmt w:val="bullet"/>
      <w:start w:val="1"/>
    </w:lvl>
  </w:abstractNum>
  <w:abstractNum w:abstractNumId="44">
    <w:nsid w:val="4A2AC315"/>
    <w:multiLevelType w:val="hybridMultilevel"/>
    <w:lvl w:ilvl="0">
      <w:lvlJc w:val="left"/>
      <w:lvlText w:val="●"/>
      <w:numFmt w:val="bullet"/>
      <w:start w:val="1"/>
    </w:lvl>
  </w:abstractNum>
  <w:abstractNum w:abstractNumId="45">
    <w:nsid w:val="39EE015C"/>
    <w:multiLevelType w:val="hybridMultilevel"/>
    <w:lvl w:ilvl="0">
      <w:lvlJc w:val="left"/>
      <w:lvlText w:val="●"/>
      <w:numFmt w:val="bullet"/>
      <w:start w:val="1"/>
    </w:lvl>
  </w:abstractNum>
  <w:abstractNum w:abstractNumId="46">
    <w:nsid w:val="57FC4FBB"/>
    <w:multiLevelType w:val="hybridMultilevel"/>
    <w:lvl w:ilvl="0">
      <w:lvlJc w:val="left"/>
      <w:lvlText w:val="●"/>
      <w:numFmt w:val="bullet"/>
      <w:start w:val="1"/>
    </w:lvl>
  </w:abstractNum>
  <w:abstractNum w:abstractNumId="47">
    <w:nsid w:val="CC1016F"/>
    <w:multiLevelType w:val="hybridMultilevel"/>
    <w:lvl w:ilvl="0">
      <w:lvlJc w:val="left"/>
      <w:lvlText w:val="●"/>
      <w:numFmt w:val="bullet"/>
      <w:start w:val="1"/>
    </w:lvl>
  </w:abstractNum>
  <w:abstractNum w:abstractNumId="48">
    <w:nsid w:val="43F18422"/>
    <w:multiLevelType w:val="hybridMultilevel"/>
    <w:lvl w:ilvl="0">
      <w:lvlJc w:val="left"/>
      <w:lvlText w:val="●"/>
      <w:numFmt w:val="bullet"/>
      <w:start w:val="1"/>
    </w:lvl>
  </w:abstractNum>
  <w:abstractNum w:abstractNumId="49">
    <w:nsid w:val="60EF0119"/>
    <w:multiLevelType w:val="hybridMultilevel"/>
    <w:lvl w:ilvl="0">
      <w:lvlJc w:val="left"/>
      <w:lvlText w:val="●"/>
      <w:numFmt w:val="bullet"/>
      <w:start w:val="1"/>
    </w:lvl>
  </w:abstractNum>
  <w:abstractNum w:abstractNumId="50">
    <w:nsid w:val="26F324BA"/>
    <w:multiLevelType w:val="hybridMultilevel"/>
    <w:lvl w:ilvl="0">
      <w:lvlJc w:val="left"/>
      <w:lvlText w:val="●"/>
      <w:numFmt w:val="bullet"/>
      <w:start w:val="1"/>
    </w:lvl>
  </w:abstractNum>
  <w:abstractNum w:abstractNumId="51">
    <w:nsid w:val="7F01579B"/>
    <w:multiLevelType w:val="hybridMultilevel"/>
    <w:lvl w:ilvl="0">
      <w:lvlJc w:val="left"/>
      <w:lvlText w:val="●"/>
      <w:numFmt w:val="bullet"/>
      <w:start w:val="1"/>
    </w:lvl>
  </w:abstractNum>
  <w:abstractNum w:abstractNumId="52">
    <w:nsid w:val="49DA307D"/>
    <w:multiLevelType w:val="hybridMultilevel"/>
    <w:lvl w:ilvl="0">
      <w:lvlJc w:val="left"/>
      <w:lvlText w:val="●"/>
      <w:numFmt w:val="bullet"/>
      <w:start w:val="1"/>
    </w:lvl>
  </w:abstractNum>
  <w:abstractNum w:abstractNumId="53">
    <w:nsid w:val="7055A5F5"/>
    <w:multiLevelType w:val="hybridMultilevel"/>
    <w:lvl w:ilvl="0">
      <w:lvlJc w:val="left"/>
      <w:lvlText w:val="●"/>
      <w:numFmt w:val="bullet"/>
      <w:start w:val="1"/>
    </w:lvl>
  </w:abstractNum>
  <w:abstractNum w:abstractNumId="54">
    <w:nsid w:val="5FB8370B"/>
    <w:multiLevelType w:val="hybridMultilevel"/>
    <w:lvl w:ilvl="0">
      <w:lvlJc w:val="left"/>
      <w:lvlText w:val="●"/>
      <w:numFmt w:val="bullet"/>
      <w:start w:val="1"/>
    </w:lvl>
  </w:abstractNum>
  <w:abstractNum w:abstractNumId="55">
    <w:nsid w:val="50801EE1"/>
    <w:multiLevelType w:val="hybridMultilevel"/>
    <w:lvl w:ilvl="0">
      <w:lvlJc w:val="left"/>
      <w:lvlText w:val="*"/>
      <w:numFmt w:val="bullet"/>
      <w:start w:val="1"/>
    </w:lvl>
    <w:lvl w:ilvl="1">
      <w:lvlJc w:val="left"/>
      <w:lvlText w:val="%2"/>
      <w:numFmt w:val="decimal"/>
      <w:start w:val="104"/>
    </w:lvl>
  </w:abstractNum>
  <w:abstractNum w:abstractNumId="56">
    <w:nsid w:val="488AC1A"/>
    <w:multiLevelType w:val="hybridMultilevel"/>
    <w:lvl w:ilvl="0">
      <w:lvlJc w:val="left"/>
      <w:lvlText w:val="**"/>
      <w:numFmt w:val="bullet"/>
      <w:start w:val="1"/>
    </w:lvl>
    <w:lvl w:ilvl="1">
      <w:lvlJc w:val="left"/>
      <w:lvlText w:val="%2"/>
      <w:numFmt w:val="decimal"/>
      <w:start w:val="1"/>
    </w:lvl>
  </w:abstractNum>
  <w:abstractNum w:abstractNumId="57">
    <w:nsid w:val="5FB8011C"/>
    <w:multiLevelType w:val="hybridMultilevel"/>
    <w:lvl w:ilvl="0">
      <w:lvlJc w:val="left"/>
      <w:lvlText w:val="+"/>
      <w:numFmt w:val="bullet"/>
      <w:start w:val="1"/>
    </w:lvl>
  </w:abstractNum>
  <w:abstractNum w:abstractNumId="58">
    <w:nsid w:val="6AA78F7F"/>
    <w:multiLevelType w:val="hybridMultilevel"/>
    <w:lvl w:ilvl="0">
      <w:lvlJc w:val="left"/>
      <w:lvlText w:val="#"/>
      <w:numFmt w:val="bullet"/>
      <w:start w:val="1"/>
    </w:lvl>
  </w:abstractNum>
  <w:abstractNum w:abstractNumId="59">
    <w:nsid w:val="7672BD23"/>
    <w:multiLevelType w:val="hybridMultilevel"/>
    <w:lvl w:ilvl="0">
      <w:lvlJc w:val="left"/>
      <w:lvlText w:val="(%1)"/>
      <w:numFmt w:val="decimal"/>
      <w:start w:val="1"/>
    </w:lvl>
  </w:abstractNum>
  <w:abstractNum w:abstractNumId="60">
    <w:nsid w:val="6FC75AF8"/>
    <w:multiLevelType w:val="hybridMultilevel"/>
    <w:lvl w:ilvl="0">
      <w:lvlJc w:val="left"/>
      <w:lvlText w:val="%1."/>
      <w:numFmt w:val="decimal"/>
      <w:start w:val="1"/>
    </w:lvl>
  </w:abstractNum>
  <w:abstractNum w:abstractNumId="61">
    <w:nsid w:val="6A5F7029"/>
    <w:multiLevelType w:val="hybridMultilevel"/>
    <w:lvl w:ilvl="0">
      <w:lvlJc w:val="left"/>
      <w:lvlText w:val="%1."/>
      <w:numFmt w:val="decimal"/>
      <w:start w:val="4"/>
    </w:lvl>
  </w:abstractNum>
  <w:abstractNum w:abstractNumId="62">
    <w:nsid w:val="7D5E18F8"/>
    <w:multiLevelType w:val="hybridMultilevel"/>
    <w:lvl w:ilvl="0">
      <w:lvlJc w:val="left"/>
      <w:lvlText w:val="%1."/>
      <w:numFmt w:val="decimal"/>
      <w:start w:val="5"/>
    </w:lvl>
  </w:abstractNum>
  <w:abstractNum w:abstractNumId="63">
    <w:nsid w:val="5F3534A4"/>
    <w:multiLevelType w:val="hybridMultilevel"/>
    <w:lvl w:ilvl="0">
      <w:lvlJc w:val="left"/>
      <w:lvlText w:val="%1."/>
      <w:numFmt w:val="decimal"/>
      <w:start w:val="6"/>
    </w:lvl>
  </w:abstractNum>
  <w:abstractNum w:abstractNumId="64">
    <w:nsid w:val="73A1821B"/>
    <w:multiLevelType w:val="hybridMultilevel"/>
    <w:lvl w:ilvl="0">
      <w:lvlJc w:val="left"/>
      <w:lvlText w:val="%1."/>
      <w:numFmt w:val="decimal"/>
      <w:start w:val="7"/>
    </w:lvl>
  </w:abstractNum>
  <w:abstractNum w:abstractNumId="65">
    <w:nsid w:val="7DE67713"/>
    <w:multiLevelType w:val="hybridMultilevel"/>
    <w:lvl w:ilvl="0">
      <w:lvlJc w:val="left"/>
      <w:lvlText w:val="%1."/>
      <w:numFmt w:val="decimal"/>
      <w:start w:val="8"/>
    </w:lvl>
  </w:abstractNum>
  <w:abstractNum w:abstractNumId="66">
    <w:nsid w:val="555C55B5"/>
    <w:multiLevelType w:val="hybridMultilevel"/>
    <w:lvl w:ilvl="0">
      <w:lvlJc w:val="left"/>
      <w:lvlText w:val="%1."/>
      <w:numFmt w:val="decimal"/>
      <w:start w:val="9"/>
    </w:lvl>
    <w:lvl w:ilvl="1">
      <w:lvlJc w:val="left"/>
      <w:lvlText w:val="(%2)"/>
      <w:numFmt w:val="lowerLetter"/>
      <w:start w:val="1"/>
    </w:lvl>
  </w:abstractNum>
  <w:abstractNum w:abstractNumId="67">
    <w:nsid w:val="3FA62AC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68">
    <w:nsid w:val="14FCE74E"/>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9">
    <w:nsid w:val="6A3DD3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70">
    <w:nsid w:val="71C91298"/>
    <w:multiLevelType w:val="hybridMultilevel"/>
    <w:lvl w:ilvl="0">
      <w:lvlJc w:val="left"/>
      <w:lvlText w:val="(%1)"/>
      <w:numFmt w:val="lowerRoman"/>
      <w:start w:val="3"/>
    </w:lvl>
  </w:abstractNum>
  <w:abstractNum w:abstractNumId="71">
    <w:nsid w:val="9DAF632"/>
    <w:multiLevelType w:val="hybridMultilevel"/>
    <w:lvl w:ilvl="0">
      <w:lvlJc w:val="left"/>
      <w:lvlText w:val="%1"/>
      <w:numFmt w:val="lowerLetter"/>
      <w:start w:val="1"/>
    </w:lvl>
    <w:lvl w:ilvl="1">
      <w:lvlJc w:val="left"/>
      <w:lvlText w:val="(%2)"/>
      <w:numFmt w:val="lowerRoman"/>
      <w:start w:val="9"/>
    </w:lvl>
  </w:abstractNum>
  <w:abstractNum w:abstractNumId="72">
    <w:nsid w:val="53299938"/>
    <w:multiLevelType w:val="hybridMultilevel"/>
    <w:lvl w:ilvl="0">
      <w:lvlJc w:val="left"/>
      <w:lvlText w:val="(%1)"/>
      <w:numFmt w:val="lowerLetter"/>
      <w:start w:val="3"/>
    </w:lvl>
    <w:lvl w:ilvl="1">
      <w:lvlJc w:val="left"/>
      <w:lvlText w:val="(%2)"/>
      <w:numFmt w:val="lowerRoman"/>
      <w:start w:val="1"/>
    </w:lvl>
  </w:abstractNum>
  <w:abstractNum w:abstractNumId="73">
    <w:nsid w:val="1FBFE8E0"/>
    <w:multiLevelType w:val="hybridMultilevel"/>
    <w:lvl w:ilvl="0">
      <w:lvlJc w:val="left"/>
      <w:lvlText w:val="%1"/>
      <w:numFmt w:val="decimal"/>
      <w:start w:val="1"/>
    </w:lvl>
    <w:lvl w:ilvl="1">
      <w:lvlJc w:val="left"/>
      <w:lvlText w:val="(%2)"/>
      <w:numFmt w:val="lowerLetter"/>
      <w:start w:val="4"/>
    </w:lvl>
  </w:abstractNum>
  <w:abstractNum w:abstractNumId="74">
    <w:nsid w:val="5092CA79"/>
    <w:multiLevelType w:val="hybridMultilevel"/>
    <w:lvl w:ilvl="0">
      <w:lvlJc w:val="left"/>
      <w:lvlText w:val="%1."/>
      <w:numFmt w:val="decimal"/>
      <w:start w:val="3"/>
    </w:lvl>
    <w:lvl w:ilvl="1">
      <w:lvlJc w:val="left"/>
      <w:lvlText w:val="(%2)"/>
      <w:numFmt w:val="lowerLetter"/>
      <w:start w:val="1"/>
    </w:lvl>
  </w:abstractNum>
  <w:abstractNum w:abstractNumId="75">
    <w:nsid w:val="1D545C4D"/>
    <w:multiLevelType w:val="hybridMultilevel"/>
    <w:lvl w:ilvl="0">
      <w:lvlJc w:val="left"/>
      <w:lvlText w:val="%1"/>
      <w:numFmt w:val="decimal"/>
      <w:start w:val="1"/>
    </w:lvl>
    <w:lvl w:ilvl="1">
      <w:lvlJc w:val="left"/>
      <w:lvlText w:val="(%2)"/>
      <w:numFmt w:val="lowerLetter"/>
      <w:start w:val="2"/>
    </w:lvl>
  </w:abstractNum>
  <w:abstractNum w:abstractNumId="76">
    <w:nsid w:val="59ADEA3D"/>
    <w:multiLevelType w:val="hybridMultilevel"/>
    <w:lvl w:ilvl="0">
      <w:lvlJc w:val="left"/>
      <w:lvlText w:val="%1."/>
      <w:numFmt w:val="decimal"/>
      <w:start w:val="4"/>
    </w:lvl>
    <w:lvl w:ilvl="1">
      <w:lvlJc w:val="left"/>
      <w:lvlText w:val="(%2)"/>
      <w:numFmt w:val="lowerLetter"/>
      <w:start w:val="1"/>
    </w:lvl>
  </w:abstractNum>
  <w:abstractNum w:abstractNumId="77">
    <w:nsid w:val="288F1A34"/>
    <w:multiLevelType w:val="hybridMultilevel"/>
    <w:lvl w:ilvl="0">
      <w:lvlJc w:val="left"/>
      <w:lvlText w:val="(%1)"/>
      <w:numFmt w:val="lowerLetter"/>
      <w:start w:val="1"/>
    </w:lvl>
    <w:lvl w:ilvl="1">
      <w:lvlJc w:val="left"/>
      <w:lvlText w:val="(%2)"/>
      <w:numFmt w:val="lowerRoman"/>
      <w:start w:val="1"/>
    </w:lvl>
  </w:abstractNum>
  <w:abstractNum w:abstractNumId="78">
    <w:nsid w:val="2A155DBC"/>
    <w:multiLevelType w:val="hybridMultilevel"/>
    <w:lvl w:ilvl="0">
      <w:lvlJc w:val="left"/>
      <w:lvlText w:val="%1"/>
      <w:numFmt w:val="lowerLetter"/>
      <w:start w:val="1"/>
    </w:lvl>
    <w:lvl w:ilvl="1">
      <w:lvlJc w:val="left"/>
      <w:lvlText w:val="(%2)"/>
      <w:numFmt w:val="lowerRoman"/>
      <w:start w:val="4"/>
    </w:lvl>
  </w:abstractNum>
  <w:abstractNum w:abstractNumId="79">
    <w:nsid w:val="1D9F6E5F"/>
    <w:multiLevelType w:val="hybridMultilevel"/>
    <w:lvl w:ilvl="0">
      <w:lvlJc w:val="left"/>
      <w:lvlText w:val="(%1)"/>
      <w:numFmt w:val="lowerLetter"/>
      <w:start w:val="4"/>
    </w:lvl>
    <w:lvl w:ilvl="1">
      <w:lvlJc w:val="left"/>
      <w:lvlText w:val="(%2)"/>
      <w:numFmt w:val="lowerRoman"/>
      <w:start w:val="1"/>
    </w:lvl>
  </w:abstractNum>
  <w:abstractNum w:abstractNumId="80">
    <w:nsid w:val="97E1B4E"/>
    <w:multiLevelType w:val="hybridMultilevel"/>
    <w:lvl w:ilvl="0">
      <w:lvlJc w:val="left"/>
      <w:lvlText w:val="%1"/>
      <w:numFmt w:val="lowerLetter"/>
      <w:start w:val="1"/>
    </w:lvl>
    <w:lvl w:ilvl="1">
      <w:lvlJc w:val="left"/>
      <w:lvlText w:val="(%2)"/>
      <w:numFmt w:val="lowerLetter"/>
      <w:start w:val="61"/>
    </w:lvl>
  </w:abstractNum>
  <w:abstractNum w:abstractNumId="81">
    <w:nsid w:val="51088277"/>
    <w:multiLevelType w:val="hybridMultilevel"/>
    <w:lvl w:ilvl="0">
      <w:lvlJc w:val="left"/>
      <w:lvlText w:val="(%1)"/>
      <w:numFmt w:val="lowerLetter"/>
      <w:start w:val="6"/>
    </w:lvl>
    <w:lvl w:ilvl="1">
      <w:lvlJc w:val="left"/>
      <w:lvlText w:val="%2"/>
      <w:numFmt w:val="lowerLetter"/>
      <w:start w:val="1"/>
    </w:lvl>
  </w:abstractNum>
  <w:abstractNum w:abstractNumId="82">
    <w:nsid w:val="1CA0C5FA"/>
    <w:multiLevelType w:val="hybridMultilevel"/>
    <w:lvl w:ilvl="0">
      <w:lvlJc w:val="left"/>
      <w:lvlText w:val="(%1)"/>
      <w:numFmt w:val="lowerLetter"/>
      <w:start w:val="9"/>
    </w:lvl>
  </w:abstractNum>
  <w:abstractNum w:abstractNumId="83">
    <w:nsid w:val="53584BCB"/>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4">
    <w:nsid w:val="415E286C"/>
    <w:multiLevelType w:val="hybridMultilevel"/>
    <w:lvl w:ilvl="0">
      <w:lvlJc w:val="left"/>
      <w:lvlText w:val="%1"/>
      <w:numFmt w:val="lowerLetter"/>
      <w:start w:val="1"/>
    </w:lvl>
    <w:lvl w:ilvl="1">
      <w:lvlJc w:val="left"/>
      <w:lvlText w:val="(%2)"/>
      <w:numFmt w:val="lowerRoman"/>
      <w:start w:val="1"/>
    </w:lvl>
  </w:abstractNum>
  <w:abstractNum w:abstractNumId="85">
    <w:nsid w:val="7C58FD05"/>
    <w:multiLevelType w:val="hybridMultilevel"/>
    <w:lvl w:ilvl="0">
      <w:lvlJc w:val="left"/>
      <w:lvlText w:val="(%1)"/>
      <w:numFmt w:val="lowerLetter"/>
      <w:start w:val="3"/>
    </w:lvl>
    <w:lvl w:ilvl="1">
      <w:lvlJc w:val="left"/>
      <w:lvlText w:val="(%2)"/>
      <w:numFmt w:val="lowerRoman"/>
      <w:start w:val="1"/>
    </w:lvl>
  </w:abstractNum>
  <w:abstractNum w:abstractNumId="86">
    <w:nsid w:val="23D86AA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87">
    <w:nsid w:val="45E6D486"/>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88">
    <w:nsid w:val="5C10FE21"/>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89">
    <w:nsid w:val="E7FFA2B"/>
    <w:multiLevelType w:val="hybridMultilevel"/>
    <w:lvl w:ilvl="0">
      <w:lvlJc w:val="left"/>
      <w:lvlText w:val="%1"/>
      <w:numFmt w:val="decimal"/>
      <w:start w:val="1"/>
    </w:lvl>
    <w:lvl w:ilvl="1">
      <w:lvlJc w:val="left"/>
      <w:lvlText w:val="(%2)"/>
      <w:numFmt w:val="lowerLetter"/>
      <w:start w:val="3"/>
    </w:lvl>
  </w:abstractNum>
  <w:abstractNum w:abstractNumId="90">
    <w:nsid w:val="3C5991AA"/>
    <w:multiLevelType w:val="hybridMultilevel"/>
    <w:lvl w:ilvl="0">
      <w:lvlJc w:val="left"/>
      <w:lvlText w:val="%1."/>
      <w:numFmt w:val="decimal"/>
      <w:start w:val="8"/>
    </w:lvl>
    <w:lvl w:ilvl="1">
      <w:lvlJc w:val="left"/>
      <w:lvlText w:val="(%2)"/>
      <w:numFmt w:val="lowerLetter"/>
      <w:start w:val="1"/>
    </w:lvl>
  </w:abstractNum>
  <w:abstractNum w:abstractNumId="91">
    <w:nsid w:val="4BD8591A"/>
    <w:multiLevelType w:val="hybridMultilevel"/>
    <w:lvl w:ilvl="0">
      <w:lvlJc w:val="left"/>
      <w:lvlText w:val="%1"/>
      <w:numFmt w:val="lowerLetter"/>
      <w:start w:val="1"/>
    </w:lvl>
    <w:lvl w:ilvl="1">
      <w:lvlJc w:val="left"/>
      <w:lvlText w:val="(%2)"/>
      <w:numFmt w:val="lowerLetter"/>
      <w:start w:val="5"/>
    </w:lvl>
  </w:abstractNum>
  <w:abstractNum w:abstractNumId="92">
    <w:nsid w:val="78DF6A55"/>
    <w:multiLevelType w:val="hybridMultilevel"/>
    <w:lvl w:ilvl="0">
      <w:lvlJc w:val="left"/>
      <w:lvlText w:val="(%1)"/>
      <w:numFmt w:val="lowerLetter"/>
      <w:start w:val="9"/>
    </w:lvl>
    <w:lvl w:ilvl="1">
      <w:lvlJc w:val="left"/>
      <w:lvlText w:val="(%2)"/>
      <w:numFmt w:val="lowerLetter"/>
      <w:start w:val="8"/>
    </w:lvl>
  </w:abstractNum>
  <w:abstractNum w:abstractNumId="93">
    <w:nsid w:val="39B7AAA2"/>
    <w:multiLevelType w:val="hybridMultilevel"/>
    <w:lvl w:ilvl="0">
      <w:lvlJc w:val="left"/>
      <w:lvlText w:val="(%1)"/>
      <w:numFmt w:val="lowerLetter"/>
      <w:start w:val="9"/>
    </w:lvl>
  </w:abstractNum>
  <w:abstractNum w:abstractNumId="94">
    <w:nsid w:val="2B0D8DBE"/>
    <w:multiLevelType w:val="hybridMultilevel"/>
    <w:lvl w:ilvl="0">
      <w:lvlJc w:val="left"/>
      <w:lvlText w:val="%1"/>
      <w:numFmt w:val="decimal"/>
      <w:start w:val="1"/>
    </w:lvl>
    <w:lvl w:ilvl="1">
      <w:lvlJc w:val="left"/>
      <w:lvlText w:val="(%2)"/>
      <w:numFmt w:val="lowerLetter"/>
      <w:start w:val="12"/>
    </w:lvl>
    <w:lvl w:ilvl="2">
      <w:lvlJc w:val="left"/>
      <w:lvlText w:val="%3"/>
      <w:numFmt w:val="lowerRoman"/>
      <w:start w:val="1"/>
    </w:lvl>
  </w:abstractNum>
  <w:abstractNum w:abstractNumId="95">
    <w:nsid w:val="6C80EC70"/>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96">
    <w:nsid w:val="379E21B5"/>
    <w:multiLevelType w:val="hybridMultilevel"/>
    <w:lvl w:ilvl="0">
      <w:lvlJc w:val="left"/>
      <w:lvlText w:val="(%1)"/>
      <w:numFmt w:val="lowerRoman"/>
      <w:start w:val="3"/>
    </w:lvl>
  </w:abstractNum>
  <w:abstractNum w:abstractNumId="97">
    <w:nsid w:val="69E373"/>
    <w:multiLevelType w:val="hybridMultilevel"/>
    <w:lvl w:ilvl="0">
      <w:lvlJc w:val="left"/>
      <w:lvlText w:val="%1"/>
      <w:numFmt w:val="decimal"/>
      <w:start w:val="1"/>
    </w:lvl>
    <w:lvl w:ilvl="1">
      <w:lvlJc w:val="left"/>
      <w:lvlText w:val="(%2)"/>
      <w:numFmt w:val="lowerLetter"/>
      <w:start w:val="4"/>
    </w:lvl>
  </w:abstractNum>
  <w:abstractNum w:abstractNumId="98">
    <w:nsid w:val="2C27173B"/>
    <w:multiLevelType w:val="hybridMultilevel"/>
    <w:lvl w:ilvl="0">
      <w:lvlJc w:val="left"/>
      <w:lvlText w:val="%1."/>
      <w:numFmt w:val="decimal"/>
      <w:start w:val="10"/>
    </w:lvl>
    <w:lvl w:ilvl="1">
      <w:lvlJc w:val="left"/>
      <w:lvlText w:val="%2"/>
      <w:numFmt w:val="lowerLetter"/>
      <w:start w:val="1"/>
    </w:lvl>
  </w:abstractNum>
  <w:abstractNum w:abstractNumId="99">
    <w:nsid w:val="4C9B0904"/>
    <w:multiLevelType w:val="hybridMultilevel"/>
    <w:lvl w:ilvl="0">
      <w:lvlJc w:val="left"/>
      <w:lvlText w:val="(%1)"/>
      <w:numFmt w:val="lowerRoman"/>
      <w:start w:val="1"/>
    </w:lvl>
  </w:abstractNum>
  <w:abstractNum w:abstractNumId="100">
    <w:nsid w:val="6AA7B75C"/>
    <w:multiLevelType w:val="hybridMultilevel"/>
    <w:lvl w:ilvl="0">
      <w:lvlJc w:val="left"/>
      <w:lvlText w:val="%1."/>
      <w:numFmt w:val="decimal"/>
      <w:start w:val="11"/>
    </w:lvl>
  </w:abstractNum>
  <w:abstractNum w:abstractNumId="101">
    <w:nsid w:val="1DF029D3"/>
    <w:multiLevelType w:val="hybridMultilevel"/>
    <w:lvl w:ilvl="0">
      <w:lvlJc w:val="left"/>
      <w:lvlText w:val="%1."/>
      <w:numFmt w:val="decimal"/>
      <w:start w:val="13"/>
    </w:lvl>
  </w:abstractNum>
  <w:abstractNum w:abstractNumId="102">
    <w:nsid w:val="5675FF36"/>
    <w:multiLevelType w:val="hybridMultilevel"/>
    <w:lvl w:ilvl="0">
      <w:lvlJc w:val="left"/>
      <w:lvlText w:val="(%1)"/>
      <w:numFmt w:val="lowerLetter"/>
      <w:start w:val="7"/>
    </w:lvl>
  </w:abstractNum>
  <w:abstractNum w:abstractNumId="103">
    <w:nsid w:val="3DD15094"/>
    <w:multiLevelType w:val="hybridMultilevel"/>
    <w:lvl w:ilvl="0">
      <w:lvlJc w:val="left"/>
      <w:lvlText w:val="%1"/>
      <w:numFmt w:val="upperLetter"/>
      <w:start w:val="1"/>
    </w:lvl>
    <w:lvl w:ilvl="1">
      <w:lvlJc w:val="left"/>
      <w:lvlText w:val="(%2)"/>
      <w:numFmt w:val="lowerRoman"/>
      <w:start w:val="1"/>
    </w:lvl>
  </w:abstractNum>
  <w:abstractNum w:abstractNumId="104">
    <w:nsid w:val="3DB012B3"/>
    <w:multiLevelType w:val="hybridMultilevel"/>
    <w:lvl w:ilvl="0">
      <w:lvlJc w:val="left"/>
      <w:lvlText w:val="(%1)"/>
      <w:numFmt w:val="upperLetter"/>
      <w:start w:val="2"/>
    </w:lvl>
    <w:lvl w:ilvl="1">
      <w:lvlJc w:val="left"/>
      <w:lvlText w:val="(%2)"/>
      <w:numFmt w:val="lowerRoman"/>
      <w:start w:val="2"/>
    </w:lvl>
  </w:abstractNum>
  <w:abstractNum w:abstractNumId="105">
    <w:nsid w:val="2708C9AF"/>
    <w:multiLevelType w:val="hybridMultilevel"/>
    <w:lvl w:ilvl="0">
      <w:lvlJc w:val="left"/>
      <w:lvlText w:val="(%1)"/>
      <w:numFmt w:val="lowerRoman"/>
      <w:start w:val="4"/>
    </w:lvl>
  </w:abstractNum>
  <w:abstractNum w:abstractNumId="106">
    <w:nsid w:val="5B25ACE2"/>
    <w:multiLevelType w:val="hybridMultilevel"/>
    <w:lvl w:ilvl="0">
      <w:lvlJc w:val="left"/>
      <w:lvlText w:val="(%1)"/>
      <w:numFmt w:val="lowerRoman"/>
      <w:start w:val="1"/>
    </w:lvl>
  </w:abstractNum>
  <w:abstractNum w:abstractNumId="107">
    <w:nsid w:val="175DFCF0"/>
    <w:multiLevelType w:val="hybridMultilevel"/>
    <w:lvl w:ilvl="0">
      <w:lvlJc w:val="left"/>
      <w:lvlText w:val="(%1)"/>
      <w:numFmt w:val="lowerRoman"/>
      <w:start w:val="1"/>
    </w:lvl>
  </w:abstractNum>
  <w:abstractNum w:abstractNumId="108">
    <w:nsid w:val="4F97E3E4"/>
    <w:multiLevelType w:val="hybridMultilevel"/>
    <w:lvl w:ilvl="0">
      <w:lvlJc w:val="left"/>
      <w:lvlText w:val="(%1)"/>
      <w:numFmt w:val="lowerRoman"/>
      <w:start w:val="22"/>
    </w:lvl>
  </w:abstractNum>
  <w:abstractNum w:abstractNumId="109">
    <w:nsid w:val="53B0A9E"/>
    <w:multiLevelType w:val="hybridMultilevel"/>
    <w:lvl w:ilvl="0">
      <w:lvlJc w:val="left"/>
      <w:lvlText w:val="(%1)"/>
      <w:numFmt w:val="lowerRoman"/>
      <w:start w:val="27"/>
    </w:lvl>
  </w:abstractNum>
  <w:abstractNum w:abstractNumId="110">
    <w:nsid w:val="34FD6B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1">
    <w:nsid w:val="5915FF3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12">
    <w:nsid w:val="56438D15"/>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abstractNum>
  <w:abstractNum w:abstractNumId="113">
    <w:nsid w:val="519E3149"/>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14">
    <w:nsid w:val="2C6E4AFD"/>
    <w:multiLevelType w:val="hybridMultilevel"/>
    <w:lvl w:ilvl="0">
      <w:lvlJc w:val="left"/>
      <w:lvlText w:val="%1"/>
      <w:numFmt w:val="decimal"/>
      <w:start w:val="1"/>
    </w:lvl>
    <w:lvl w:ilvl="1">
      <w:lvlJc w:val="left"/>
      <w:lvlText w:val="(%2)"/>
      <w:numFmt w:val="lowerLetter"/>
      <w:start w:val="3"/>
    </w:lvl>
  </w:abstractNum>
  <w:abstractNum w:abstractNumId="115">
    <w:nsid w:val="17A1B582"/>
    <w:multiLevelType w:val="hybridMultilevel"/>
    <w:lvl w:ilvl="0">
      <w:lvlJc w:val="left"/>
      <w:lvlText w:val="%1."/>
      <w:numFmt w:val="decimal"/>
      <w:start w:val="4"/>
    </w:lvl>
    <w:lvl w:ilvl="1">
      <w:lvlJc w:val="left"/>
      <w:lvlText w:val="(%2)"/>
      <w:numFmt w:val="lowerLetter"/>
      <w:start w:val="1"/>
    </w:lvl>
  </w:abstractNum>
  <w:abstractNum w:abstractNumId="116">
    <w:nsid w:val="4DF72E4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7">
    <w:nsid w:val="5046B5A9"/>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18">
    <w:nsid w:val="5D888A08"/>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19">
    <w:nsid w:val="2A082C7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20">
    <w:nsid w:val="5EC6AFD4"/>
    <w:multiLevelType w:val="hybridMultilevel"/>
    <w:lvl w:ilvl="0">
      <w:lvlJc w:val="left"/>
      <w:lvlText w:val="%1"/>
      <w:numFmt w:val="decimal"/>
      <w:start w:val="1"/>
    </w:lvl>
    <w:lvl w:ilvl="1">
      <w:lvlJc w:val="left"/>
      <w:lvlText w:val="(%2)"/>
      <w:numFmt w:val="lowerLetter"/>
      <w:start w:val="3"/>
    </w:lvl>
  </w:abstractNum>
  <w:abstractNum w:abstractNumId="121">
    <w:nsid w:val="19E21BB2"/>
    <w:multiLevelType w:val="hybridMultilevel"/>
    <w:lvl w:ilvl="0">
      <w:lvlJc w:val="left"/>
      <w:lvlText w:val="%1."/>
      <w:numFmt w:val="decimal"/>
      <w:start w:val="8"/>
    </w:lvl>
    <w:lvl w:ilvl="1">
      <w:lvlJc w:val="left"/>
      <w:lvlText w:val="(%2)"/>
      <w:numFmt w:val="lowerLetter"/>
      <w:start w:val="1"/>
    </w:lvl>
  </w:abstractNum>
  <w:abstractNum w:abstractNumId="122">
    <w:nsid w:val="75E0858A"/>
    <w:multiLevelType w:val="hybridMultilevel"/>
    <w:lvl w:ilvl="0">
      <w:lvlJc w:val="left"/>
      <w:lvlText w:val="%1."/>
      <w:numFmt w:val="decimal"/>
      <w:start w:val="10"/>
    </w:lvl>
    <w:lvl w:ilvl="1">
      <w:lvlJc w:val="left"/>
      <w:lvlText w:val="(%2)"/>
      <w:numFmt w:val="lowerLetter"/>
      <w:start w:val="1"/>
    </w:lvl>
  </w:abstractNum>
  <w:abstractNum w:abstractNumId="123">
    <w:nsid w:val="57A61A29"/>
    <w:multiLevelType w:val="hybridMultilevel"/>
    <w:lvl w:ilvl="0">
      <w:lvlJc w:val="left"/>
      <w:lvlText w:val="%1."/>
      <w:numFmt w:val="decimal"/>
      <w:start w:val="12"/>
    </w:lvl>
    <w:lvl w:ilvl="1">
      <w:lvlJc w:val="left"/>
      <w:lvlText w:val="(%2)"/>
      <w:numFmt w:val="lowerLetter"/>
      <w:start w:val="1"/>
    </w:lvl>
  </w:abstractNum>
  <w:abstractNum w:abstractNumId="124">
    <w:nsid w:val="5399C654"/>
    <w:multiLevelType w:val="hybridMultilevel"/>
    <w:lvl w:ilvl="0">
      <w:lvlJc w:val="left"/>
      <w:lvlText w:val="%1."/>
      <w:numFmt w:val="decimal"/>
      <w:start w:val="13"/>
    </w:lvl>
    <w:lvl w:ilvl="1">
      <w:lvlJc w:val="left"/>
      <w:lvlText w:val="(%2)"/>
      <w:numFmt w:val="lowerLetter"/>
      <w:start w:val="1"/>
    </w:lvl>
  </w:abstractNum>
  <w:abstractNum w:abstractNumId="125">
    <w:nsid w:val="20EE1348"/>
    <w:multiLevelType w:val="hybridMultilevel"/>
    <w:lvl w:ilvl="0">
      <w:lvlJc w:val="left"/>
      <w:lvlText w:val="%1"/>
      <w:numFmt w:val="decimal"/>
      <w:start w:val="1"/>
    </w:lvl>
    <w:lvl w:ilvl="1">
      <w:lvlJc w:val="left"/>
      <w:lvlText w:val="(%2)"/>
      <w:numFmt w:val="lowerLetter"/>
      <w:start w:val="2"/>
    </w:lvl>
  </w:abstractNum>
  <w:abstractNum w:abstractNumId="126">
    <w:nsid w:val="4427069A"/>
    <w:multiLevelType w:val="hybridMultilevel"/>
    <w:lvl w:ilvl="0">
      <w:lvlJc w:val="left"/>
      <w:lvlText w:val="%1."/>
      <w:numFmt w:val="decimal"/>
      <w:start w:val="14"/>
    </w:lvl>
    <w:lvl w:ilvl="1">
      <w:lvlJc w:val="left"/>
      <w:lvlText w:val="%2"/>
      <w:numFmt w:val="lowerLetter"/>
      <w:start w:val="1"/>
    </w:lvl>
  </w:abstractNum>
  <w:abstractNum w:abstractNumId="127">
    <w:nsid w:val="B37E80A"/>
    <w:multiLevelType w:val="hybridMultilevel"/>
    <w:lvl w:ilvl="0">
      <w:lvlJc w:val="left"/>
      <w:lvlText w:val="%1."/>
      <w:numFmt w:val="decimal"/>
      <w:start w:val="15"/>
    </w:lvl>
    <w:lvl w:ilvl="1">
      <w:lvlJc w:val="left"/>
      <w:lvlText w:val="(%2)"/>
      <w:numFmt w:val="lowerLetter"/>
      <w:start w:val="1"/>
    </w:lvl>
  </w:abstractNum>
  <w:abstractNum w:abstractNumId="128">
    <w:nsid w:val="2157F6BC"/>
    <w:multiLevelType w:val="hybridMultilevel"/>
    <w:lvl w:ilvl="0">
      <w:lvlJc w:val="left"/>
      <w:lvlText w:val="(%1)"/>
      <w:numFmt w:val="lowerLetter"/>
      <w:start w:val="5"/>
    </w:lvl>
  </w:abstractNum>
  <w:abstractNum w:abstractNumId="129">
    <w:nsid w:val="704E1DD5"/>
    <w:multiLevelType w:val="hybridMultilevel"/>
    <w:lvl w:ilvl="0">
      <w:lvlJc w:val="left"/>
      <w:lvlText w:val="%1."/>
      <w:numFmt w:val="decimal"/>
      <w:start w:val="16"/>
    </w:lvl>
  </w:abstractNum>
  <w:abstractNum w:abstractNumId="130">
    <w:nsid w:val="57D2F10E"/>
    <w:multiLevelType w:val="hybridMultilevel"/>
    <w:lvl w:ilvl="0">
      <w:lvlJc w:val="left"/>
      <w:lvlText w:val="(%1)"/>
      <w:numFmt w:val="lowerLetter"/>
      <w:start w:val="6"/>
    </w:lvl>
  </w:abstractNum>
  <w:abstractNum w:abstractNumId="131">
    <w:nsid w:val="BFFAE18"/>
    <w:multiLevelType w:val="hybridMultilevel"/>
    <w:lvl w:ilvl="0">
      <w:lvlJc w:val="left"/>
      <w:lvlText w:val="(%1)"/>
      <w:numFmt w:val="lowerRoman"/>
      <w:start w:val="1"/>
    </w:lvl>
  </w:abstractNum>
  <w:abstractNum w:abstractNumId="132">
    <w:nsid w:val="E3E47A8"/>
    <w:multiLevelType w:val="hybridMultilevel"/>
    <w:lvl w:ilvl="0">
      <w:lvlJc w:val="left"/>
      <w:lvlText w:val="(%1)"/>
      <w:numFmt w:val="lowerRoman"/>
      <w:start w:val="1"/>
    </w:lvl>
  </w:abstractNum>
  <w:abstractNum w:abstractNumId="133">
    <w:nsid w:val="2E48F044"/>
    <w:multiLevelType w:val="hybridMultilevel"/>
    <w:lvl w:ilvl="0">
      <w:lvlJc w:val="left"/>
      <w:lvlText w:val="(%1)"/>
      <w:numFmt w:val="lowerLetter"/>
      <w:start w:val="28"/>
    </w:lvl>
  </w:abstractNum>
  <w:abstractNum w:abstractNumId="134">
    <w:nsid w:val="49D0FEAC"/>
    <w:multiLevelType w:val="hybridMultilevel"/>
    <w:lvl w:ilvl="0">
      <w:lvlJc w:val="left"/>
      <w:lvlText w:val="%1."/>
      <w:numFmt w:val="decimal"/>
      <w:start w:val="1"/>
    </w:lvl>
    <w:lvl w:ilvl="1">
      <w:lvlJc w:val="left"/>
      <w:lvlText w:val="(%2)"/>
      <w:numFmt w:val="lowerLetter"/>
      <w:start w:val="1"/>
    </w:lvl>
  </w:abstractNum>
  <w:abstractNum w:abstractNumId="135">
    <w:nsid w:val="4BEE5A5B"/>
    <w:multiLevelType w:val="hybridMultilevel"/>
    <w:lvl w:ilvl="0">
      <w:lvlJc w:val="left"/>
      <w:lvlText w:val="%1."/>
      <w:numFmt w:val="decimal"/>
      <w:start w:val="1"/>
    </w:lvl>
    <w:lvl w:ilvl="1">
      <w:lvlJc w:val="left"/>
      <w:lvlText w:val="(%2)"/>
      <w:numFmt w:val="lowerLetter"/>
      <w:start w:val="1"/>
    </w:lvl>
  </w:abstractNum>
  <w:abstractNum w:abstractNumId="136">
    <w:nsid w:val="5551B9F3"/>
    <w:multiLevelType w:val="hybridMultilevel"/>
    <w:lvl w:ilvl="0">
      <w:lvlJc w:val="left"/>
      <w:lvlText w:val="%1."/>
      <w:numFmt w:val="decimal"/>
      <w:start w:val="1"/>
    </w:lvl>
  </w:abstractNum>
  <w:abstractNum w:abstractNumId="137">
    <w:nsid w:val="24F6AB8E"/>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34" Type="http://schemas.openxmlformats.org/officeDocument/2006/relationships/image" Target="media/image118.png"/><Relationship Id="rId135" Type="http://schemas.openxmlformats.org/officeDocument/2006/relationships/image" Target="media/image119.png"/><Relationship Id="rId136" Type="http://schemas.openxmlformats.org/officeDocument/2006/relationships/image" Target="media/image120.png"/><Relationship Id="rId137" Type="http://schemas.openxmlformats.org/officeDocument/2006/relationships/image" Target="media/image121.png"/><Relationship Id="rId138" Type="http://schemas.openxmlformats.org/officeDocument/2006/relationships/image" Target="media/image122.png"/><Relationship Id="rId139" Type="http://schemas.openxmlformats.org/officeDocument/2006/relationships/image" Target="media/image123.png"/><Relationship Id="rId140" Type="http://schemas.openxmlformats.org/officeDocument/2006/relationships/image" Target="media/image124.png"/><Relationship Id="rId141" Type="http://schemas.openxmlformats.org/officeDocument/2006/relationships/image" Target="media/image125.png"/><Relationship Id="rId142" Type="http://schemas.openxmlformats.org/officeDocument/2006/relationships/image" Target="media/image126.png"/><Relationship Id="rId143" Type="http://schemas.openxmlformats.org/officeDocument/2006/relationships/image" Target="media/image127.png"/><Relationship Id="rId144" Type="http://schemas.openxmlformats.org/officeDocument/2006/relationships/image" Target="media/image128.png"/><Relationship Id="rId145" Type="http://schemas.openxmlformats.org/officeDocument/2006/relationships/image" Target="media/image129.png"/><Relationship Id="rId146" Type="http://schemas.openxmlformats.org/officeDocument/2006/relationships/image" Target="media/image130.png"/><Relationship Id="rId147" Type="http://schemas.openxmlformats.org/officeDocument/2006/relationships/image" Target="media/image131.png"/><Relationship Id="rId148" Type="http://schemas.openxmlformats.org/officeDocument/2006/relationships/image" Target="media/image132.png"/><Relationship Id="rId149" Type="http://schemas.openxmlformats.org/officeDocument/2006/relationships/image" Target="media/image133.png"/><Relationship Id="rId150" Type="http://schemas.openxmlformats.org/officeDocument/2006/relationships/image" Target="media/image134.png"/><Relationship Id="rId151" Type="http://schemas.openxmlformats.org/officeDocument/2006/relationships/image" Target="media/image135.png"/><Relationship Id="rId152" Type="http://schemas.openxmlformats.org/officeDocument/2006/relationships/image" Target="media/image136.png"/><Relationship Id="rId153" Type="http://schemas.openxmlformats.org/officeDocument/2006/relationships/image" Target="media/image137.png"/><Relationship Id="rId154" Type="http://schemas.openxmlformats.org/officeDocument/2006/relationships/image" Target="media/image138.png"/><Relationship Id="rId155" Type="http://schemas.openxmlformats.org/officeDocument/2006/relationships/image" Target="media/image139.png"/><Relationship Id="rId156" Type="http://schemas.openxmlformats.org/officeDocument/2006/relationships/image" Target="media/image140.png"/><Relationship Id="rId157" Type="http://schemas.openxmlformats.org/officeDocument/2006/relationships/image" Target="media/image141.png"/><Relationship Id="rId158" Type="http://schemas.openxmlformats.org/officeDocument/2006/relationships/image" Target="media/image142.png"/><Relationship Id="rId159" Type="http://schemas.openxmlformats.org/officeDocument/2006/relationships/image" Target="media/image143.png"/><Relationship Id="rId160" Type="http://schemas.openxmlformats.org/officeDocument/2006/relationships/image" Target="media/image144.png"/><Relationship Id="rId161" Type="http://schemas.openxmlformats.org/officeDocument/2006/relationships/image" Target="media/image145.png"/><Relationship Id="rId162" Type="http://schemas.openxmlformats.org/officeDocument/2006/relationships/image" Target="media/image146.png"/><Relationship Id="rId163" Type="http://schemas.openxmlformats.org/officeDocument/2006/relationships/image" Target="media/image147.png"/><Relationship Id="rId164" Type="http://schemas.openxmlformats.org/officeDocument/2006/relationships/image" Target="media/image148.png"/><Relationship Id="rId165" Type="http://schemas.openxmlformats.org/officeDocument/2006/relationships/image" Target="media/image149.png"/><Relationship Id="rId166" Type="http://schemas.openxmlformats.org/officeDocument/2006/relationships/image" Target="media/image150.png"/><Relationship Id="rId167" Type="http://schemas.openxmlformats.org/officeDocument/2006/relationships/image" Target="media/image151.png"/><Relationship Id="rId168" Type="http://schemas.openxmlformats.org/officeDocument/2006/relationships/image" Target="media/image152.png"/><Relationship Id="rId169" Type="http://schemas.openxmlformats.org/officeDocument/2006/relationships/image" Target="media/image153.png"/><Relationship Id="rId170" Type="http://schemas.openxmlformats.org/officeDocument/2006/relationships/image" Target="media/image154.png"/><Relationship Id="rId171" Type="http://schemas.openxmlformats.org/officeDocument/2006/relationships/image" Target="media/image155.png"/><Relationship Id="rId172" Type="http://schemas.openxmlformats.org/officeDocument/2006/relationships/image" Target="media/image156.png"/><Relationship Id="rId173" Type="http://schemas.openxmlformats.org/officeDocument/2006/relationships/image" Target="media/image157.png"/><Relationship Id="rId174" Type="http://schemas.openxmlformats.org/officeDocument/2006/relationships/image" Target="media/image158.png"/><Relationship Id="rId175" Type="http://schemas.openxmlformats.org/officeDocument/2006/relationships/image" Target="media/image159.png"/><Relationship Id="rId176" Type="http://schemas.openxmlformats.org/officeDocument/2006/relationships/image" Target="media/image160.png"/><Relationship Id="rId177" Type="http://schemas.openxmlformats.org/officeDocument/2006/relationships/image" Target="media/image161.png"/><Relationship Id="rId178" Type="http://schemas.openxmlformats.org/officeDocument/2006/relationships/image" Target="media/image162.png"/><Relationship Id="rId125" Type="http://schemas.openxmlformats.org/officeDocument/2006/relationships/hyperlink" Target="http://www.sec.gov/Archives/edgar/data/1434647/000119312515140072/d911803dex31.htm" TargetMode="External"/><Relationship Id="rId126" Type="http://schemas.openxmlformats.org/officeDocument/2006/relationships/hyperlink" Target="http://www.sec.gov/Archives/edgar/data/0001434647/000143774920025891/ex_218888.htm" TargetMode="External"/><Relationship Id="rId127" Type="http://schemas.openxmlformats.org/officeDocument/2006/relationships/hyperlink" Target="http://www.sec.gov/Archives/edgar/data/0001434647/000119312521197280/d192970dex31.htm" TargetMode="External"/><Relationship Id="rId128" Type="http://schemas.openxmlformats.org/officeDocument/2006/relationships/hyperlink" Target="http://www.sec.gov/Archives/edgar/data/0001434647/000119312521197280/d192970dex32.htm" TargetMode="External"/><Relationship Id="rId129" Type="http://schemas.openxmlformats.org/officeDocument/2006/relationships/hyperlink" Target="http://www.sec.gov/Archives/edgar/data/0001434647/000119312521197280/d192970dex33.htm" TargetMode="External"/><Relationship Id="rId130" Type="http://schemas.openxmlformats.org/officeDocument/2006/relationships/hyperlink" Target="http://www.sec.gov/Archives/edgar/data/0001434647/000143774920015351/ex_194015.htm" TargetMode="External"/><Relationship Id="rId131" Type="http://schemas.openxmlformats.org/officeDocument/2006/relationships/hyperlink" Target="http://www.sec.gov/Archives/edgar/data/0001434647/000119312521197280/d192970dex41.htm" TargetMode="External"/><Relationship Id="rId132" Type="http://schemas.openxmlformats.org/officeDocument/2006/relationships/hyperlink" Target="http://www.sec.gov/Archives/edgar/data/0001434647/000119312521197280/d192970dex101.htm" TargetMode="External"/><Relationship Id="rId133" Type="http://schemas.openxmlformats.org/officeDocument/2006/relationships/hyperlink" Target="http://www.sec.gov/Archives/edgar/data/0001434647/000119312521207570/d36597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2021-08-13T16:10:21Z</dcterms:created>
  <dcterms:modified xsi:type="dcterms:W3CDTF">2021-08-13T16:10:21Z</dcterms:modified>
</cp:coreProperties>
</file>