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3660" w:right="1560" w:hanging="3634"/>
        <w:spacing w:after="0" w:line="427" w:lineRule="auto"/>
        <w:tabs>
          <w:tab w:leader="none" w:pos="542"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9"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1" w:lineRule="exact"/>
        <w:rPr>
          <w:rFonts w:ascii="Wingdings" w:cs="Wingdings" w:eastAsia="Wingdings" w:hAnsi="Wingdings"/>
          <w:sz w:val="18"/>
          <w:szCs w:val="18"/>
          <w:b w:val="1"/>
          <w:bCs w:val="1"/>
          <w:color w:val="auto"/>
        </w:rPr>
      </w:pPr>
    </w:p>
    <w:p>
      <w:pPr>
        <w:ind w:left="34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001-36913</w:t>
      </w:r>
    </w:p>
    <w:p>
      <w:pPr>
        <w:spacing w:after="0" w:line="31"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Zevra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0"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20-5894398</w:t>
            </w:r>
          </w:p>
        </w:tc>
      </w:tr>
      <w:tr>
        <w:trPr>
          <w:trHeight w:val="283"/>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540"/>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101 Federal Street, Boston, MA</w:t>
            </w:r>
          </w:p>
        </w:tc>
        <w:tc>
          <w:tcPr>
            <w:tcW w:w="32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83"/>
        </w:trPr>
        <w:tc>
          <w:tcPr>
            <w:tcW w:w="62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621"/>
        </w:trPr>
        <w:tc>
          <w:tcPr>
            <w:tcW w:w="6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(888) 958-1253</w:t>
            </w:r>
          </w:p>
        </w:tc>
        <w:tc>
          <w:tcPr>
            <w:tcW w:w="3200" w:type="dxa"/>
            <w:vAlign w:val="bottom"/>
          </w:tcPr>
          <w:p>
            <w:pPr>
              <w:spacing w:after="0"/>
              <w:rPr>
                <w:sz w:val="24"/>
                <w:szCs w:val="24"/>
                <w:color w:val="auto"/>
              </w:rPr>
            </w:pPr>
          </w:p>
        </w:tc>
      </w:tr>
    </w:tbl>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5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32"/>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ZVRA</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740" w:type="dxa"/>
            <w:vAlign w:val="bottom"/>
            <w:tcBorders>
              <w:left w:val="single" w:sz="8" w:color="auto"/>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3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r>
        <w:trPr>
          <w:trHeight w:val="28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84"/>
        </w:trPr>
        <w:tc>
          <w:tcPr>
            <w:tcW w:w="2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ectPr>
          <w:pgSz w:w="11900" w:h="16838" w:orient="portrait"/>
          <w:cols w:equalWidth="0" w:num="1">
            <w:col w:w="11240"/>
          </w:cols>
          <w:pgMar w:left="320" w:top="229" w:right="339" w:bottom="82"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 registrant had 59,504,621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14"/>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540" w:type="dxa"/>
            <w:vAlign w:val="bottom"/>
            <w:gridSpan w:val="17"/>
            <w:shd w:val="clear" w:color="auto" w:fill="CCEEFF"/>
          </w:tcPr>
          <w:p>
            <w:pPr>
              <w:jc w:val="center"/>
              <w:ind w:right="2820"/>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3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04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SEPTEMBER 30, 2026, AND DECEMBER</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31, 2025</w:t>
            </w:r>
          </w:p>
        </w:tc>
        <w:tc>
          <w:tcPr>
            <w:tcW w:w="2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4</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540" w:type="dxa"/>
            <w:vAlign w:val="bottom"/>
            <w:tcBorders>
              <w:bottom w:val="single" w:sz="8" w:color="0000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UNAUDITED CONDENSED CONSOLIDATED STATEMENTS OF OPERATIONS FOR THE THREE AND NINE</w:t>
            </w:r>
          </w:p>
        </w:tc>
        <w:tc>
          <w:tcPr>
            <w:tcW w:w="600" w:type="dxa"/>
            <w:vAlign w:val="bottom"/>
            <w:tcBorders>
              <w:bottom w:val="single" w:sz="8" w:color="CCEEFF"/>
            </w:tcBorders>
            <w:gridSpan w:val="5"/>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MONTHS ENDED SEPTEMBER 30, 2026, AND 2025</w:t>
            </w:r>
          </w:p>
        </w:tc>
        <w:tc>
          <w:tcPr>
            <w:tcW w:w="5080" w:type="dxa"/>
            <w:vAlign w:val="bottom"/>
            <w:tcBorders>
              <w:bottom w:val="single" w:sz="8" w:color="CCEEFF"/>
            </w:tcBorders>
            <w:gridSpan w:val="13"/>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THREE AND NINE MONTHS ENDED SEPTEMBER 30, 2026, AND 2025</w:t>
            </w:r>
          </w:p>
        </w:tc>
        <w:tc>
          <w:tcPr>
            <w:tcW w:w="380" w:type="dxa"/>
            <w:vAlign w:val="bottom"/>
            <w:gridSpan w:val="3"/>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1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AND NINE MONTHS ENDED SEPTEMBER 30, 2026, AND 2025</w:t>
            </w:r>
          </w:p>
        </w:tc>
        <w:tc>
          <w:tcPr>
            <w:tcW w:w="460" w:type="dxa"/>
            <w:vAlign w:val="bottom"/>
            <w:tcBorders>
              <w:top w:val="single" w:sz="8" w:color="CCEEFF"/>
            </w:tcBorders>
            <w:gridSpan w:val="4"/>
            <w:shd w:val="clear" w:color="auto" w:fill="CCEEFF"/>
          </w:tcPr>
          <w:p>
            <w:pPr>
              <w:spacing w:after="0"/>
              <w:rPr>
                <w:sz w:val="17"/>
                <w:szCs w:val="17"/>
                <w:color w:val="auto"/>
              </w:rPr>
            </w:pPr>
          </w:p>
        </w:tc>
        <w:tc>
          <w:tcPr>
            <w:tcW w:w="560" w:type="dxa"/>
            <w:vAlign w:val="bottom"/>
            <w:tcBorders>
              <w:top w:val="single" w:sz="8" w:color="CCEEFF"/>
            </w:tcBorders>
            <w:gridSpan w:val="4"/>
            <w:shd w:val="clear" w:color="auto" w:fill="CCEEFF"/>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38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6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180" w:type="dxa"/>
            <w:vAlign w:val="bottom"/>
            <w:gridSpan w:val="2"/>
          </w:tcPr>
          <w:p>
            <w:pPr>
              <w:spacing w:after="0"/>
              <w:rPr>
                <w:sz w:val="17"/>
                <w:szCs w:val="17"/>
                <w:color w:val="auto"/>
              </w:rPr>
            </w:pPr>
          </w:p>
        </w:tc>
        <w:tc>
          <w:tcPr>
            <w:tcW w:w="560" w:type="dxa"/>
            <w:vAlign w:val="bottom"/>
            <w:gridSpan w:val="4"/>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FF"/>
              </w:rPr>
              <w:t>9</w:t>
            </w:r>
          </w:p>
        </w:tc>
        <w:tc>
          <w:tcPr>
            <w:tcW w:w="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1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56"/>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00" w:type="dxa"/>
            <w:vAlign w:val="bottom"/>
            <w:gridSpan w:val="16"/>
          </w:tcPr>
          <w:p>
            <w:pPr>
              <w:jc w:val="center"/>
              <w:ind w:right="3040"/>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220" w:type="dxa"/>
            <w:vAlign w:val="bottom"/>
            <w:shd w:val="clear" w:color="auto" w:fill="CCEEFF"/>
          </w:tcPr>
          <w:p>
            <w:pPr>
              <w:spacing w:after="0"/>
              <w:rPr>
                <w:sz w:val="18"/>
                <w:szCs w:val="18"/>
                <w:color w:val="auto"/>
              </w:rPr>
            </w:pPr>
          </w:p>
        </w:tc>
        <w:tc>
          <w:tcPr>
            <w:tcW w:w="93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20" w:type="dxa"/>
            <w:vAlign w:val="bottom"/>
          </w:tcPr>
          <w:p>
            <w:pPr>
              <w:spacing w:after="0"/>
              <w:rPr>
                <w:sz w:val="18"/>
                <w:szCs w:val="18"/>
                <w:color w:val="auto"/>
              </w:rPr>
            </w:pP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3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5.</w:t>
            </w:r>
          </w:p>
        </w:tc>
        <w:tc>
          <w:tcPr>
            <w:tcW w:w="93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48"/>
        </w:trPr>
        <w:tc>
          <w:tcPr>
            <w:tcW w:w="2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r>
      <w:tr>
        <w:trPr>
          <w:trHeight w:val="905"/>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(the “Securities Act”), and the Securities Exchange Act of 1934, as amended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outcomes of the events described in these forward-looking statements are subject to risks, uncertainties and other factors described in “Risk Factors” of our Annual Report on Form 10-K for the fiscal year ended December 31, 2025, filed with the SEC on March 9, 2026 (the “Annual Report on Form 10-K”), as supplemented in our Quarterly Report on Form 10-Q for the quarter ended March 31, 2026, filed with the SEC on May 6, 2026 (the “Q1 2026 Form 10-Q”), and elsewhere in this report. Accordingly, you should not place undue reliance upon these forward-looking statements. We cannot assure you that the events and circumstances reflected in the forward-looking statements will be achieved or occur, and the timing of events and circumstances and actual results could differ materially from those anticipated in the forward-looking statements. Forward-looking statements contained in this report include, but are not limited to, statements about:</w:t>
      </w:r>
    </w:p>
    <w:p>
      <w:pPr>
        <w:spacing w:after="0" w:line="185" w:lineRule="exact"/>
        <w:rPr>
          <w:sz w:val="20"/>
          <w:szCs w:val="20"/>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commercialize and the timing of commercializing our products and product candidates, if approved;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therapeutic benefits and effectiveness of our products and product candidates;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timing of, and expected amount of expenses associated with our commercialization, research, and development activities;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size and characteristics of the markets that may be addressed by our products and product candidates;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expected timing of clinical trials for our product candidates and the availability of data and results of those trials;</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progress of, outcome of and timing of any regulatory approval for any of our product candidates;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regarding federal, state and foreign tax, legal and regulatory requirements;</w:t>
      </w:r>
    </w:p>
    <w:p>
      <w:pPr>
        <w:spacing w:after="0" w:line="157" w:lineRule="exact"/>
        <w:rPr>
          <w:rFonts w:ascii="Times New Roman" w:cs="Times New Roman" w:eastAsia="Times New Roman" w:hAnsi="Times New Roman"/>
          <w:sz w:val="18"/>
          <w:szCs w:val="18"/>
          <w:i w:val="1"/>
          <w:iCs w:val="1"/>
          <w:color w:val="auto"/>
        </w:rPr>
      </w:pPr>
    </w:p>
    <w:p>
      <w:pPr>
        <w:ind w:left="780" w:right="20" w:hanging="513"/>
        <w:spacing w:after="0" w:line="284" w:lineRule="auto"/>
        <w:tabs>
          <w:tab w:leader="none" w:pos="77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7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expectations as to future financial performance, expense levels and liquidity sources;</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sufficiency of our cash resources to fund our operating expenses and capital investment requirements for any period;</w:t>
      </w:r>
    </w:p>
    <w:p>
      <w:pPr>
        <w:spacing w:after="0" w:line="157"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raise additional funds if needed on commercially reasonable terms, or at all, in order to support our continued operations; and</w:t>
      </w:r>
    </w:p>
    <w:p>
      <w:pPr>
        <w:spacing w:after="0" w:line="144" w:lineRule="exact"/>
        <w:rPr>
          <w:rFonts w:ascii="Times New Roman" w:cs="Times New Roman" w:eastAsia="Times New Roman" w:hAnsi="Times New Roman"/>
          <w:sz w:val="18"/>
          <w:szCs w:val="18"/>
          <w:i w:val="1"/>
          <w:iCs w:val="1"/>
          <w:color w:val="auto"/>
        </w:rPr>
      </w:pPr>
    </w:p>
    <w:p>
      <w:pPr>
        <w:ind w:left="780" w:hanging="513"/>
        <w:spacing w:after="0"/>
        <w:tabs>
          <w:tab w:leader="none" w:pos="7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discussed elsewhere in this report.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as supplemented in the Q1 2026 Form 10-Q, that we believe could cause actual results or events to differ materially from the forward-looking statements that we make. Our forward-looking statements do not reflect the potential impact of any future developments, including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w:t>
      </w:r>
    </w:p>
    <w:p>
      <w:pPr>
        <w:spacing w:after="0" w:line="227"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Unless the context otherwise requires, we use the terms “Zevra,” “Company,” “we,” “us” and “our” in this Quarterly Report on Form 10-Q to refer to Zevra Therapeutics, Inc. and its subsidiaries. We have proprietary rights to a number of trademarks and service marks used in this Quarterly Report on Form 10-Q that are important to our business, including MIPLYFFA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OLPRUVA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its related logo, LAT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and the Zevra companies' logos. In addition, Zevra Therapeutics</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Zevra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are both registered trademarks of the Company.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and ™ symbols, but such references should not be construed as any indicator that their respective owners will not assert, to the fullest extent under applicable law,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122,148</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62,406</w:t>
            </w:r>
          </w:p>
        </w:tc>
      </w:tr>
      <w:tr>
        <w:trPr>
          <w:trHeight w:val="247"/>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current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128,605</w:t>
            </w:r>
          </w:p>
        </w:tc>
      </w:tr>
      <w:tr>
        <w:trPr>
          <w:trHeight w:val="26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23,258</w:t>
            </w:r>
          </w:p>
        </w:tc>
      </w:tr>
      <w:tr>
        <w:trPr>
          <w:trHeight w:val="247"/>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6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current</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47"/>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223,007</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noncurrent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47,879</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 noncurrent</w:t>
            </w:r>
          </w:p>
        </w:tc>
        <w:tc>
          <w:tcPr>
            <w:tcW w:w="22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r>
      <w:tr>
        <w:trPr>
          <w:trHeight w:val="26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313,575</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284,731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7"/>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11,598</w:t>
            </w:r>
          </w:p>
        </w:tc>
      </w:tr>
      <w:tr>
        <w:trPr>
          <w:trHeight w:val="26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47"/>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discount and rebate liabilities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12,188</w:t>
            </w:r>
          </w:p>
        </w:tc>
      </w:tr>
      <w:tr>
        <w:trPr>
          <w:trHeight w:val="26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income tax payable</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w:t>
            </w:r>
          </w:p>
        </w:tc>
      </w:tr>
      <w:tr>
        <w:trPr>
          <w:trHeight w:val="250"/>
        </w:trPr>
        <w:tc>
          <w:tcPr>
            <w:tcW w:w="7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w:t>
            </w:r>
          </w:p>
        </w:tc>
      </w:tr>
      <w:tr>
        <w:trPr>
          <w:trHeight w:val="25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39,277</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61,928</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7,029</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and rebate liabilities, less current portion</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9,693</w:t>
            </w:r>
          </w:p>
        </w:tc>
      </w:tr>
      <w:tr>
        <w:trPr>
          <w:trHeight w:val="26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5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74,652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130,074</w:t>
            </w:r>
          </w:p>
        </w:tc>
      </w:tr>
      <w:tr>
        <w:trPr>
          <w:trHeight w:val="203"/>
        </w:trPr>
        <w:tc>
          <w:tcPr>
            <w:tcW w:w="7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M)</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6"/>
        </w:trPr>
        <w:tc>
          <w:tcPr>
            <w:tcW w:w="7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16"/>
        </w:trPr>
        <w:tc>
          <w:tcPr>
            <w:tcW w:w="7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Undesignated preferred stock, $0.0001 par value, 10,000,000 shares authorized, no shares issued or outstanding</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as of September 30, 2026, or December 31, 2025</w:t>
            </w:r>
          </w:p>
        </w:tc>
        <w:tc>
          <w:tcPr>
            <w:tcW w:w="22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$0.0001 par value, 250,000,000 shares authorized; 61,015,651 shares issued and 59,439,959</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3"/>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outstanding as of September 30, 2026; 58,338,319 shares issued and 56,854,781 shares outstanding as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of December 31, 2025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588,458</w:t>
            </w:r>
          </w:p>
        </w:tc>
      </w:tr>
      <w:tr>
        <w:trPr>
          <w:trHeight w:val="26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w:t>
            </w: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(10,983)</w:t>
            </w:r>
          </w:p>
        </w:tc>
      </w:tr>
      <w:tr>
        <w:trPr>
          <w:trHeight w:val="24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(422,060)</w:t>
            </w:r>
          </w:p>
        </w:tc>
      </w:tr>
      <w:tr>
        <w:trPr>
          <w:trHeight w:val="26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50"/>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238,923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154,657</w:t>
            </w:r>
          </w:p>
        </w:tc>
      </w:tr>
      <w:tr>
        <w:trPr>
          <w:trHeight w:val="28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313,575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284,731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40"/>
          </w:cols>
          <w:pgMar w:left="320" w:top="121" w:right="3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2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667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5700" w:type="dxa"/>
            <w:vAlign w:val="bottom"/>
            <w:gridSpan w:val="4"/>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20" w:type="dxa"/>
            <w:vAlign w:val="bottom"/>
            <w:gridSpan w:val="8"/>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OPERATIONS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60" w:type="dxa"/>
            <w:vAlign w:val="bottom"/>
            <w:gridSpan w:val="7"/>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2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r>
      <w:tr>
        <w:trPr>
          <w:trHeight w:val="238"/>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$315 and $315 in intangible asset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for the three months ended September 30, 2026, and 2025,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respectively, and $947 and $3,546 in intangible asset amortization for the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2026, and 2025, respectively, shown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57"/>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future royalties, intellectual property, and other assets, net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r>
      <w:tr>
        <w:trPr>
          <w:trHeight w:val="257"/>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5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w:t>
            </w:r>
          </w:p>
        </w:tc>
      </w:tr>
      <w:tr>
        <w:trPr>
          <w:trHeight w:val="25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80,503</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(72,258)</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7"/>
        </w:trPr>
        <w:tc>
          <w:tcPr>
            <w:tcW w:w="5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sale of PRV</w:t>
            </w:r>
          </w:p>
        </w:tc>
        <w:tc>
          <w:tcPr>
            <w:tcW w:w="3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148,325</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30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57"/>
        </w:trPr>
        <w:tc>
          <w:tcPr>
            <w:tcW w:w="5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7"/>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7"/>
        </w:trPr>
        <w:tc>
          <w:tcPr>
            <w:tcW w:w="55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5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146,270</w:t>
            </w:r>
          </w:p>
        </w:tc>
      </w:tr>
      <w:tr>
        <w:trPr>
          <w:trHeight w:val="25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77,317</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74,012</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77"/>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71,064</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7"/>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common stock:</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7"/>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57"/>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5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59,407,392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55,951,572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58,993,342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54,949,483</w:t>
            </w:r>
          </w:p>
        </w:tc>
      </w:tr>
      <w:tr>
        <w:trPr>
          <w:trHeight w:val="256"/>
        </w:trPr>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61,732,366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55,951,572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61,103,394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56,782,763</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62"/>
        </w:trPr>
        <w:tc>
          <w:tcPr>
            <w:tcW w:w="128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29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ZEVRA THERAPEUTICS,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600" w:type="dxa"/>
            <w:vAlign w:val="bottom"/>
            <w:gridSpan w:val="11"/>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COMPREHENSIVE INCOME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92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2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1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780" w:type="dxa"/>
            <w:vAlign w:val="bottom"/>
            <w:tcBorders>
              <w:bottom w:val="single" w:sz="8" w:color="CCEEFF"/>
            </w:tcBorders>
            <w:gridSpan w:val="2"/>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71,064</w:t>
            </w:r>
          </w:p>
        </w:tc>
      </w:tr>
      <w:tr>
        <w:trPr>
          <w:trHeight w:val="25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
        </w:trPr>
        <w:tc>
          <w:tcPr>
            <w:tcW w:w="40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57"/>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loss on available-for-sale securities</w:t>
            </w: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7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63,106</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84"/>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83"/>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at cost</w:t>
            </w:r>
          </w:p>
        </w:tc>
        <w:tc>
          <w:tcPr>
            <w:tcW w:w="12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154,657</w:t>
            </w:r>
          </w:p>
        </w:tc>
      </w:tr>
      <w:tr>
        <w:trPr>
          <w:trHeight w:val="250"/>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1"/>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exercised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205,804</w:t>
            </w:r>
          </w:p>
        </w:tc>
      </w:tr>
      <w:tr>
        <w:trPr>
          <w:trHeight w:val="250"/>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r>
      <w:tr>
        <w:trPr>
          <w:trHeight w:val="2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the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606,264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(375,418)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217,652</w:t>
            </w:r>
          </w:p>
        </w:tc>
      </w:tr>
      <w:tr>
        <w:trPr>
          <w:trHeight w:val="25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5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7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609,618</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(356,210)</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238,923</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84"/>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83"/>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4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555,302</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(505,289)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39,666</w:t>
            </w:r>
          </w:p>
        </w:tc>
      </w:tr>
      <w:tr>
        <w:trPr>
          <w:trHeight w:val="250"/>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r>
      <w:tr>
        <w:trPr>
          <w:trHeight w:val="2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exchange for</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560,471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(508,388)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41,023</w:t>
            </w:r>
          </w:p>
        </w:tc>
      </w:tr>
      <w:tr>
        <w:trPr>
          <w:trHeight w:val="250"/>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74,707</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74,707</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as part of the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stock awards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57"/>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564,316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(433,681)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117,230</w:t>
            </w:r>
          </w:p>
        </w:tc>
      </w:tr>
      <w:tr>
        <w:trPr>
          <w:trHeight w:val="25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options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or RSUs vested</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stock warrants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1"/>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r>
      <w:tr>
        <w:trPr>
          <w:trHeight w:val="25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580,783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(10,983)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0139"/>
          </w:cols>
          <w:pgMar w:left="320" w:top="12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69"/>
        </w:trPr>
        <w:tc>
          <w:tcPr>
            <w:tcW w:w="8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71,064</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4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58,710</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 obsolescence charge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11,681</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warrant and CVR liability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Accretion on investments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adjustment related to investments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derivative liability</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to settle derivative instrument and payoff premium</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Settlement of royalties to Aquestive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Paid-in-kind interest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future royalties, intellectual property, and other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Consulting fees paid in common stock</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foreign currency exchange rates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PRV</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(148,325)</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(15,999)</w:t>
            </w:r>
          </w:p>
        </w:tc>
      </w:tr>
      <w:tr>
        <w:trPr>
          <w:trHeight w:val="26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and rebate liabilities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w:t>
            </w:r>
          </w:p>
        </w:tc>
      </w:tr>
      <w:tr>
        <w:trPr>
          <w:trHeight w:val="24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6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(7,114)</w:t>
            </w:r>
          </w:p>
        </w:tc>
      </w:tr>
      <w:tr>
        <w:trPr>
          <w:trHeight w:val="203"/>
        </w:trPr>
        <w:tc>
          <w:tcPr>
            <w:tcW w:w="8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future royalties, intellectual property, and other assets, net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48,935</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Disposals of property and equipment</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(222,823)</w:t>
            </w: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maturities of investments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188,222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91,000</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PRV</w:t>
            </w:r>
          </w:p>
        </w:tc>
        <w:tc>
          <w:tcPr>
            <w:tcW w:w="24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r>
      <w:tr>
        <w:trPr>
          <w:trHeight w:val="250"/>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76,218</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17,900</w:t>
            </w: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employee taxes related to stock awards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6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options exercised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r>
      <w:tr>
        <w:trPr>
          <w:trHeight w:val="24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for warrants exercised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5,957</w:t>
            </w:r>
          </w:p>
        </w:tc>
      </w:tr>
      <w:tr>
        <w:trPr>
          <w:trHeight w:val="26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principal on insurance financing arrangements</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(49,668)</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w:t>
            </w:r>
          </w:p>
        </w:tc>
      </w:tr>
      <w:tr>
        <w:trPr>
          <w:trHeight w:val="25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bl>
    <w:p>
      <w:pPr>
        <w:spacing w:after="0" w:line="27" w:lineRule="exact"/>
        <w:rPr>
          <w:sz w:val="20"/>
          <w:szCs w:val="20"/>
          <w:color w:val="auto"/>
        </w:rPr>
      </w:pPr>
    </w:p>
    <w:p>
      <w:pPr>
        <w:sectPr>
          <w:pgSz w:w="11900" w:h="16838" w:orient="portrait"/>
          <w:cols w:equalWidth="0" w:num="1">
            <w:col w:w="11240"/>
          </w:cols>
          <w:pgMar w:left="320" w:top="191" w:right="339" w:bottom="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59,742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20,654</w:t>
            </w:r>
          </w:p>
        </w:tc>
      </w:tr>
      <w:tr>
        <w:trPr>
          <w:trHeight w:val="270"/>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62,406</w:t>
            </w:r>
          </w:p>
        </w:tc>
        <w:tc>
          <w:tcPr>
            <w:tcW w:w="8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33,785</w:t>
            </w:r>
          </w:p>
        </w:tc>
      </w:tr>
      <w:tr>
        <w:trPr>
          <w:trHeight w:val="250"/>
        </w:trPr>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122,148</w:t>
            </w:r>
          </w:p>
        </w:tc>
        <w:tc>
          <w:tcPr>
            <w:tcW w:w="80" w:type="dxa"/>
            <w:vAlign w:val="bottom"/>
          </w:tcPr>
          <w:p>
            <w:pPr>
              <w:spacing w:after="0"/>
              <w:rPr>
                <w:sz w:val="21"/>
                <w:szCs w:val="21"/>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54,439</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-368300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-16510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140"/>
          </w:cols>
          <w:pgMar w:left="320" w:top="191" w:right="339" w:bottom="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6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6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w:t>
            </w:r>
          </w:p>
        </w:tc>
      </w:tr>
      <w:tr>
        <w:trPr>
          <w:trHeight w:val="24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6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91" w:right="339" w:bottom="0" w:gutter="0" w:footer="0" w:header="0"/>
          <w:type w:val="continuous"/>
        </w:sectPr>
      </w:pP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ectPr>
          <w:pgSz w:w="11900" w:h="16838" w:orient="portrait"/>
          <w:cols w:equalWidth="0" w:num="1">
            <w:col w:w="11240"/>
          </w:cols>
          <w:pgMar w:left="320" w:top="191" w:right="339" w:bottom="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0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Description of Business, Basis of Presentation, and Significant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Zevra Therapeutics, Inc. (the “Company” or “Zevra”) is a commercial-stage company with a late-stage pipeline committed to redefining what is possible in bringing life-changing therapeutics to people living with rare diseases. The Company is focused on broadening access through geographic expansion opportunities, progressing its pipeline toward key milestones, and delivering meaningful therapeutics.</w:t>
      </w:r>
    </w:p>
    <w:p>
      <w:pPr>
        <w:spacing w:after="0" w:line="1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September 20, 2024, the U.S. Food and Drug Administration (“FDA”) approved the New Drug Application (“NDA”) for MIPLYFFA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(arimoclomol), an orally-delivered treatment for Niemann-Pick disease type C (“NPC”), which is an ultra-rare and progressive neurodegenerative disease. MIPLYFFA, the first FDA-approved treatment for NPC, is indicated for use in combination with miglustat for the treatment of neurological manifestations of NPC in adult and pediatric patients two years of age and older. The Company's other commercial stage asset, OLPRUVA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phenylbutyrate) for oral suspension, is approved by the FDA for the treatment of certain urea cycle disorders (“UCDs”).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Arimoclomol has been granted orphan medicinal product designation for the treatment of NPC by the European Commission. The Company is pursuing regulatory approval in the European Union (“E.U.”) and filed a Marketing Authorization Application (“MAA”) with the European Medicines Agency (“EMA”) in July 2025. In July 2026, the Committee for Medicinal Products for Human Use (CHMP) of the EMA adopted a negative opinion regarding the MAA. Under European regulatory procedures, the Company has requested a re-examination of the CHMP opinion.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is currently conducting a Phase 3 clinical trial of celiprolol for the treatment of Vascular Ehlers-Danlos syndrome (“VEDS”) in patients with a confirmed type III collagen mutation.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13, 2026, the Company entered into an Asset Purchase and Settlement Agreement (the “Commave Settlement Agreement”) with Commave Therapeutics SA (“Commave”) to sell certain assets of the Company to Commave and to resolve pending litigation related to claims arising under the Collaboration and License Agreement between the parties dated September 3, 2019, as amended (the “AZSTARYS License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Commave Settlement Agreement, Commave agreed to pay a total of $50.0 million, and the Company agreed to sell to Commave all of the Company's rights to certain assets relating to the Company's serdexmethylphenidate (“SDX”) portfolio, including AZSTARYS and KP1077. Under the March 2012 termination agreement with Aquestive Therapeutics, Inc. (“Aquestive”) (the “Aquestive Termination Agreement”), Aquestive has the right to receive an amount equal to 10% of any value generated by AZSTARYS and any product candidates containing SDX, including the sales proceeds under the Commave Settlement Agreement. Commave paid an aggregate of $45.0 million during the first quarter of 2026, consisting of $40.5 million paid to the Company and $4.5 million paid directly to Aquestive on behalf of the Company. In April 2026, Commave paid the remaining $5.0 million, consisting of $4.5 million to the Company and $0.5 million directly to Aquestive on behalf of the Company. In accordance with ASC 610-20, </w:t>
      </w:r>
      <w:r>
        <w:rPr>
          <w:rFonts w:ascii="Times New Roman" w:cs="Times New Roman" w:eastAsia="Times New Roman" w:hAnsi="Times New Roman"/>
          <w:sz w:val="18"/>
          <w:szCs w:val="18"/>
          <w:i w:val="1"/>
          <w:iCs w:val="1"/>
          <w:color w:val="auto"/>
        </w:rPr>
        <w:t>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Derecognition of Nonfinancial Assets</w:t>
      </w:r>
      <w:r>
        <w:rPr>
          <w:rFonts w:ascii="Times New Roman" w:cs="Times New Roman" w:eastAsia="Times New Roman" w:hAnsi="Times New Roman"/>
          <w:sz w:val="18"/>
          <w:szCs w:val="18"/>
          <w:color w:val="auto"/>
        </w:rPr>
        <w:t>, the net proceeds from the sale were recorded as a gain on sale of future royalties, intellectual property,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net of $43.3 million in the Company's unaudited condensed consolidated statements of operations for the nine months ended September 30, 2026. In addition, under the Commave Settlement Agreement, the Company and Commave have agreed to terminate the AZSTARYS License Agreement in its entirety.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prepared the unaudited condensed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Statements on Form S-3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5, 2024, Zevra filed a registration statement on Form S-3 (File No. 333-276856) registering the resale of an aggregate of 2,269,721 shares of Zevra’s common stock by certain stockholders (the “Resale Registration Statement”). The Resale Registration Statement was declared effective on April 8,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the Company filed a registration statement on Form S-3 (File No. 333-279941) (the “June 2024 Registration Statement”) under which the Company may sell securities, including as may be issuable upon conversion, redemption, repurchase, exchange or exercise of securities, in one or more offerings up to a total aggregate offering price of $350.0 million, $75.0 million of which was allocated to the sale of the shares of common stock issuable under the 2024 ATM Agreement (as described further below). The June 2024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2024 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the Company entered into an equity distribution agreement (the “2024 ATM Agreement”) with Citizens JMP Securities LLC (“Citizens JMP”) under which the Company may offer and sell, from time to time at its sole discretion, shares of its common stock having an aggregate offering price of up to $75.0 million through Citizens JMP as its sales agent. The issuance and sale, if any, of common stock by the Company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the Company (including any price, time or size limits or other customary parameters or conditions the Company may impose). The Company will pay Citizens JMP a commission equal to 3.0% in the aggregate of the gross sales proceeds of any common stock sold through Citizens JMP under the 2024 ATM Agreement. As of September 30, 2026, no shares have been issued or sold under the 2024 ATM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were made to historical periods' unaudited condensed consolidated financial statements to conform to the classifications used in the current year. These reclassifications had no impact on the consolidated net income (loss), changes in stockholders' equity, or cash flows previously reported.</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the warrant liability and discount and rebate liabilities, the valuation of embedded derivatives, and the net realizable value of inventory,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investment securities that are classified as available-for-sale securities, primarily consisting of U.S. Treasury securities and corporate bonds. In accordance with Financial Accounting Standards Board (“FASB”) Accounting Standards Codification (“ASC”) Topic 825,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Company has historically elected the fair value option based on the Company's liquidity needs. For purchases of debt securities in previous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applying fair value accounting most accurately represented the Company's investment strategy due to the fact that excess cash was being invested for the purpose of funding future operations. In such circumstances, securities are carried at fair value with unrealized gains and losses included in fair value adjustment related to investments on the unaudited condensed consolidated statements of operations. As of September 30, 2026, and December 31, 2025, the Company held securities under the fair value option with an aggregate fair value of $33.0 million and $176.5 million, respectively, that contained an aggregate unrealized loss of $(0.4) million and an aggregate unrealized gain of $0.1 million, respectively, which is included on the unaudited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did not elect to apply the fair value option to individual securities purchased in 2026 due to its strengthening financial position and decreased need for immediate liquidity. For such securities, unrealized gains and losses are included in net unrealized gains (losses) on available-for-sale securities on the unaudited condensed consolidated statements of comprehensive income (loss). Interest income is recognized as earned using an effective yield method giving effect to the amortization of premium and accretion of discount and is based on the economic life of the securities. Interest income is included in interest and other income, net, in the unaudited condensed consolidated statements of operations. As of September 30, 2026, securities for which the fair value option was not elected had an aggregate fair value and amortized cost basis of $115.7 million, with an aggregate unrealized loss of $(0.8) million included in the unaudited condensed consolidated statements of comprehensive income (loss). The fair value of these securities, along with those for which the fair value option was elected, are included in the investments, current, and investments, noncurrent, lines on the unaudited condensed consolidated balance sheets. We determined that none of these recently purchased available-for-sale securities were other-than-temporarily impaired as of September 30, 2026. Therefore, we believe that it is more likely than not that the investments will be held until maturity or a forecasted recovery of fair value.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securities held at September 30, 2026, approximately $73.4 million mature within one year and approximately $75.3 million mature in one to three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members of the Board of Directors) are deemed to have the power to direct the activities of a VIE.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assessment requires judgment in determining whether these interests, in the aggregate, are considered potentially significant to the VIE. As of September 30, 2026, and December 31, 2025, the Company identified Acer Therapeutics, Inc. (“Acer”) to be the Company's sole interest in a VIE.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and consolidates the assets and liabilities of the VIE.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PRV</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received a transferable rare pediatric disease priority review voucher (“PRV”) in conjunction with the FDA approval of MIPLYFFA. On February 26, 2025, the Company and its subsidiary, Zevra Denmark A/S, entered into an asset purchase agreement with a buyer, pursuant to which the Company agreed to sell the PRV to the buyer for aggregate proceeds of $150.0 million, payable in cash, upon the closing of the sale. On April 1, 2025, the asset sale was consummated and title of the PRV transferred to the buyer, resulting in net proceeds of $148.3 million to the Company. The PRV did not have a carrying value at the time of sale. In accordance with ASC 610-20, </w:t>
      </w:r>
      <w:r>
        <w:rPr>
          <w:rFonts w:ascii="Times New Roman" w:cs="Times New Roman" w:eastAsia="Times New Roman" w:hAnsi="Times New Roman"/>
          <w:sz w:val="18"/>
          <w:szCs w:val="18"/>
          <w:i w:val="1"/>
          <w:iCs w:val="1"/>
          <w:color w:val="auto"/>
        </w:rPr>
        <w:t>Gains and Losses from the Derecognition of Nonfinancial Assets,</w:t>
      </w:r>
      <w:r>
        <w:rPr>
          <w:rFonts w:ascii="Times New Roman" w:cs="Times New Roman" w:eastAsia="Times New Roman" w:hAnsi="Times New Roman"/>
          <w:sz w:val="18"/>
          <w:szCs w:val="18"/>
          <w:color w:val="auto"/>
        </w:rPr>
        <w:t xml:space="preserve"> the net proceeds from the sale were recorded as a gain on sale of PRV in the Company's unaudited condensed consolidated statements of operations in the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from product sales are recognized at the transaction price when the customer obtains control of the Company's product, which occurs at a point in time, typically upon receipt of the product by the customer. The Company's current single customer for product sales of MIPLYFFA and OLPRUVA is a specialty pharmacy provider.</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The Company's net revenues represent total revenues adjusted for discounts and allowances, including estimated cash discounts, chargebacks, rebates, returns, copay assistance, data fees and wholesaler fees for services. These adjustments represent variable consideration under ASC 606 and are recorded as a reduction of revenue. These adjustments are established by management as its best estimate based on available information and will be adjusted to reflect known changes in the factors that impact such allowances. Adjustments for variable consideration are determined based on the contractual terms with customers, historical trends, communications with customers and the levels of inventory remaining in the distribution channel, as well as expectations about the market for the product and anticipated introduction of competitive products. All estimated reserve liabilities related to commercial products are recorded within the current portion of discount and rebate liabilities in the unaudited condensed consolidated balance sheets.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includes revenue from the sale of arimoclomol provided for the treatment of NPC under an expanded access program (“EAP”) in France and in select territories outside Europe. An EAP is a program giving specific patients access to a drug that is not yet approved for commercial sale. Only drugs targeting serious or rare indications and for which there is currently no appropriate treatment are considered for expanded access programs. Further, to be considered for the expanded access program, the drug must have proven efficacy and safety and must either be undergoing price negotiations or seeking marketing approval.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606, the Company recognizes revenue when fulfilling its performance obligation under the global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French Health Authorities and the manufacturer have agreed to a price for reimbursements under the EAP in France, but the final price depends on the terms and conditions negotiated with the French Health Authorities, following market authorization. Any excess in the price charged by the manufacturer compared to the price agreed with the health authorities once the medicinal product is authorized in France must be repaid. The potential repayment is considered in the clawback liability. An estimate of net revenue and clawback liability are recognized using the ‘expected value’ method. Accounting for net revenue and clawback liability requires determination of the most appropriate method for estimating the expected final price. This estimate also requires assumptions with respect to inputs into the method, including current pricing of comparable marketed products within the rare disease area in France. Management has considered the expected final sales price as well as the price of similar medicinal products. The Company is operating within a rare disease therapeutic area where there is unmet treatment need and hence a limited number of comparable commercialized medicinal products. The limited available relevant market information for directly comparable commercialized medicines within rare disease increases the uncertainty in management's estimate.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it can be satisfied at a point in time or over time, and it measures the services delivered to the licensee, which are periodically reviewed based on the progress of the related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Upfront Fees</w:t>
      </w:r>
      <w:r>
        <w:rPr>
          <w:rFonts w:ascii="Times New Roman" w:cs="Times New Roman" w:eastAsia="Times New Roman" w:hAnsi="Times New Roman"/>
          <w:sz w:val="18"/>
          <w:szCs w:val="18"/>
          <w:color w:val="auto"/>
        </w:rPr>
        <w:t>: 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each arrangement that includes milestone payments (variable consideration),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Milestones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(“IPR&amp;D”) projects are expensed as acquired IPR&amp;D and milestones expense in the unaudited condensed consolidated statements of operations unless the project has an alternative future use. These costs include upfront and development milestone payments related to R&amp;D collaborations, licensing arrangements, or other asset acquisitions that provide rights to develop, manufacture and/or sell pharmaceutical products. Where contingent development milestone payments are due to third parties, prior to regulatory approval, the payment obligations are expensed when the milestone results are achieved. Regulatory and commercial milestone payments made to third parties subsequent to regulatory approval are capitalized as intangible assets and amortized to intangible asset amortization over the remaining useful life of the related product.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For derivative instruments that are bifurcated from a host contract, the Company recognizes them as either assets or liabilities in the unaudited condensed consolidated balance sheets and measures them at fair value. Embedded derivatives are remeasured at each reporting date, with changes in fair value recognized in earnings within loss on derivative liability in the unaudited condensed consolidated statements of operations. The Company initially assesses the probability of triggering events for bifurcated embedded derivatives in determining fair value. The probability is assessed at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inventories is recorded at net realizable value. The Company determines the cost of its inventories, which include amounts related to materials and manufacturing overhead, on a first-in, first-out basis. Inventories that are not expected to be sold within 12 months are classified as inventories, noncurrent.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products that have not received final regulatory approval when the Company believes such action is appropriate in relation to the commercial value of the product launch opportunity. 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The Company had no pre-approval inventory on its unaudited condensed consolidated balance sheets as of September 30, 2026, or December 31, 2025. Inventory used in clinical trials is also expensed as research and development expense when selected for such use. Inventory that can be used in the production of either clinical or commercial products is expensed as research and development costs when identified for use in a clinical manufacturing campaign. The cost of finished goods inventory that is shipped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 customer to support the Company’s patient assistance programs is expensed when those shipments take place. As of September 30, 2026, and December 31, 2025, the Company did not have pre-launch inventory that qualified for capitalization.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revenue in the unaudited condensed consolidated statements of operations. The determination of whether inventory costs will be realizable requires the use of estimates by management. If actual market conditions are less favorable than projected by management, additional write downs of inventory may be required. Additionally, the Company’s products are subject to strict quality control and monitoring, which is performed throughout the manufacturing process. In the event that certain batches or units of product do not meet quality specifications, the Company will record a charge to cost of product revenue, to write down any unsaleable inventory to its estimated net realizable value. For the three and nine months ended September 30, 2026, the Company recognized $0.0 million and $0.5 million, respectively, related to write-downs for unsaleable inventory. For the three and nine months ended September 30, 2025, the Company recognized a charge of approximately $11.7 million related to write-downs for unsaleable inventory.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components of cost of product revenue are royalties and expenses directly attributable to revenue. To date, the Company has generated revenue from product sales of MIPLYFFA and OLPRUVA, reimbursements received under the global EAP, royalties or net sales milestone payments generated under the AZSTARYS License Agreement, and consulting agreements.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our acquisition of the assets of Orphazyme A/S (“Orphazyme”) in May 2022,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 and a $5.0 million sales milestone payment upon annual sales of $100.0 million. XOMA was acquired by Ligand Pharmaceuticals in July 2026.</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28, 2023, Acer and Relief Therapeutics SA (“Relief”) entered into a termination agreement (the “Relief Termination Agreement”). Pursuant to the Relief Termination Agreement, Zevra is obligated to pay royalties of 10% of U.S. net sales of OLPRUVA up to a maximum of $45.0 million, plus specified regulatory milestones, for total payments to Relief of up to $56.5 million. In April 2025, Relief sold the rights to this royalty to Soleus Capital Management L.P., and in December 2025, Relief merged with NeuroX Group SA, and the combined company now operates as MindMaze Therapeutics Holding SA.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Other Receivables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MIPLYFFA and OLPRUVA product sales, receivables under the AZSTARYS License Agreement, the global EAP, and other receivables due to the Company. Receivables under the AZSTARYS License Agreement are recorded for amounts due to the Company related to royalties on product sales. Receivables under the global EAP are recorded for revenue from arimoclomol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include costs of clinical trials and related clinical manufacturing costs, cash compensation, stock-based compensation, costs of drug development, costs of materials and supplies,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unaudited condensed consolidated statements of operations as the Company receives the related goods or services.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makes adjustments, if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costs, including related legal costs, are expensed as incurred and recorded within general and administrative expenses on the unaudited condensed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taxation in the United States (including federal, state, and local jurisdictions) and the Kingdom of Denmark. Generally, the Company is subject to examination by tax jurisdictions from 2021 to 2024 tax years as the statute of limitations (excluding net operating loss carryforwards) are 3 to 4 years in the United States and Kingdom of Denmark. Tax liabilities may arise from interpretations and judgments made by the Company with regard to transfer pricing in the application of the relevant statutes, regulations, tax rulings and case law across the various jurisdictions. The Company uses significant judgment in (1) determining whether the technical merits of tax positions taken in the various jurisdictions are more-likely-than-not to be sustained based on applicable tax law and (2) measuring the related amount of tax liability that qualifies for recognition. The United States federal and state tax jurisdictions can audit the net operating loss carryforwards from the tax years in which the statute of limitations has expired but can only adjust the net operating loss carryforwards. No income tax returns are currently under examination by United States taxing authorities.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 which includes a broad range of tax reform provisions, was signed into law in the United States. This includes a net Controlled Foreign Corporation (“CFC”) tested income (“NCTI”) provision, which is an update of the GILTI provision that was effective under H.R. 1. The Company has not recorded any deferred taxes for future NCTI inclusions as any future inclusions are expected to be treated as a period expense. The Company continues to assess the impact of the OBBB but currently does not expect the OBBB to have a material impact on the Company's estimated annual effective tax rate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ASC subtopic 505-50. The Company values equity instruments and stock options granted using the Black-Scholes-Merton (“BSM”) option pricing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two-class method to compute net income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rights to receive distributed and undistributed earnings. Holders of each series of the Company’s convertible preferred stock, if applicable, and select warrants are entitled to participate in distributions, when and if declared by the board of directors, that are made to common stockholders and, as a result, are considered participating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See Note C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translated into the reporting currency using the exchange rates in effect on the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 (loss) in the accompanying unaudited condensed consolidated statements of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incurred in connection with financing arrangements are recorded as a reduction of the related debt on the unaudited condensed consolidated balance sheets and amortized over the life of the respective financing arrangement using the effective interest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issuing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unaudited condensed consolidated statements of changes in stockholders’ equity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unaudited condensed consolidated statements of operations. The fair value of the warrants was estimated using the BSM option pricing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Recently Adopted</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No. 2023-09, Income Taxes (“Topic 740”): </w:t>
      </w:r>
      <w:r>
        <w:rPr>
          <w:rFonts w:ascii="Times New Roman" w:cs="Times New Roman" w:eastAsia="Times New Roman" w:hAnsi="Times New Roman"/>
          <w:sz w:val="18"/>
          <w:szCs w:val="18"/>
          <w:i w:val="1"/>
          <w:iCs w:val="1"/>
          <w:color w:val="auto"/>
        </w:rPr>
        <w:t>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ASU 2023-09 establishes new income tax disclosure requirements in addition to modifying and eliminating certain existing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new guidance, entities must consistently categorize and provide greater disaggregation of information in the reconciliation of the effective tax rate to the statutory tax rate and must also further disaggregate income taxes paid. The Company adopted ASU 2023-09 for the year ended December 31, 2025 using a retrospective approach and included the required disclosures in the Notes to the Consolidated Financial Statements for income taxes. This standard update did not affect the Company’s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Reporting Comprehensive Income-Expense Disaggregation Disclosures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new standard requires disclosure of specified information about certain costs and expenses. ASU 2024-03 is effective for fiscal years beginning after December 15, 2026 and for interim periods within fiscal years beginning after December 15, 2027. Early adoption is permitted. The</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currently evaluating this guidance to determine the impact it may have on its consolidated financial statements disclosures.</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Zevra manages its business activities on a consolidated basis and operates as a single operating segment dedicated to the research and development, manufacturing, commercialization and sale of innovative medicines and therapies. The Company primarily derives its revenue from MIPLYFFA and OLPRUVA product sales and reimbursements received under the global EAP. For the nine months ended September 30, 2026, and 2025, the Company's revenue included royalties generated under the AZSTARYS License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Zevra's CODM is the Company's Chief Executive Officer, Neil F. McFarlane. The CODM uses net income, as reported in the Company's unaudited condensed consolidated statements of operations, in evaluating performance of its segment and determining how to allocate resources of the Company as a whole, including investing in its research and development, commercialization efforts, and acquisition strategy. The CODM does not review assets in evaluating the results of the segment, and, therefore, such information is not presented. The accounting policies of the segment are the same as those described in Note 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operating results of the Company's segment for the three and nine months ended September 30, 2026 and 2025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significant segment expenses:</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directly identified to</w:t>
            </w: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1"/>
        </w:trPr>
        <w:tc>
          <w:tcPr>
            <w:tcW w:w="4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238"/>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not directly identified to</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8"/>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directly identified</w:t>
            </w: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1"/>
        </w:trPr>
        <w:tc>
          <w:tcPr>
            <w:tcW w:w="44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 programs</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r>
      <w:tr>
        <w:trPr>
          <w:trHeight w:val="238"/>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not directly</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identified to programs</w:t>
            </w: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38,118</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10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57"/>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06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r>
      <w:tr>
        <w:trPr>
          <w:trHeight w:val="257"/>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57"/>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7"/>
        </w:trPr>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4"/>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 (a)</w:t>
            </w:r>
          </w:p>
        </w:tc>
        <w:tc>
          <w:tcPr>
            <w:tcW w:w="10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(132,175)</w:t>
            </w:r>
          </w:p>
        </w:tc>
      </w:tr>
      <w:tr>
        <w:trPr>
          <w:trHeight w:val="277"/>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Segment net income (loss)</w:t>
            </w: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71,064</w:t>
            </w:r>
          </w:p>
        </w:tc>
      </w:tr>
      <w:tr>
        <w:trPr>
          <w:trHeight w:val="21"/>
        </w:trPr>
        <w:tc>
          <w:tcPr>
            <w:tcW w:w="4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61"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included in segment net income (loss) includes the gain on sale of the PRV, cost of product revenue, intangible asset amortization, gain on sale of future royalties, intellectual property, and other assets, net, loss on extinguishment of debt, loss on derivative liability, fair value adjustment related to warrant and contingent value right (“CVR”) liabilities, fair value adjustments related to investments, and other overhead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long-lived assets in the United States of $2.0 million and $2.2 million as of September 30, 2026, and December 31,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long-lived assets in Europe of $0.2 million and $0.4 million as of September 30, 2026, and December 31, 2025,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7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inventory are summarized as follows (in thousands):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6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1"/>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w:t>
            </w:r>
          </w:p>
        </w:tc>
        <w:tc>
          <w:tcPr>
            <w:tcW w:w="7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Debt Obligations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6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the Company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the Company in the aggregate principal amount of $100.0 million, which was divided into three tranches as follows: (i) $60.0 million, which was funded in full on the Term Loans Closing Date; (ii) $20.0 million, which was available to the Company in up to two drawings, each in an amount not to exceed $10.0 million, at the Company's option until October 5, 2025; and; (iii) $20.0 million, which was available to the Company upon approval by the FDA of the NDA for MIPLYFFA for the treatment of NPC, at the Company’s option until December 31, 2024 (collectively, the “Term Loans”). The Company did not draw down the amounts described in (ii) and (iii) above prior to their applicable expiration dates. The proceeds of the Term Loans were used to refinance certain existing indebtedness of the Company and its subsidiaries. The Company used the remaining proceeds to pay fees and expenses related to the debt financing and commercialization of MIPLYFFA and OLPRUVA, and to further the development of its other product candidates.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contractual terms of the Term Loans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 determine whether any embedded features require bifurcation from the host debt instrument. The embedded features identified in the Term Loans included a mandatory prepayment provision upon the occurrence of certain triggering events. Based on its assessment, the Company determined that the mandatory repayment feature is not clearly and closely related to the host debt instrument and therefore requires bifurcation and separate accounting as a derivative instrument. The embedded derivative is not designated as a hedging instrument and is accounted for separately from the host debt instrument. The derivative is remeasured at each reporting date, with changes in fair value recognized in the unaudited consolidated statements of operations. As of December 31, 2025, the embedded derivative had no value as the Company determined that the probability of the associated triggering event was remote. The Company recognized a loss on derivative liability of $0.0 million and $7.2 million in the unaudited condensed consolidated statements of operations for the three and nine months ended September 30, 2026, respectively. The embedded derivative was eliminated upon repayment of the Term Loans as described below.</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12, 2026, the Company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the Company was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the Company and certain of its subsidiaries that were guarantors thereunder. Upon repayment, the Credit Agreement and all related loan documents were terminated, and all liens and security interests granted thereunder were released. The Company recognized a loss on extinguishment of debt of $0.0 million and $2.8 million in the unaudited condensed consolidated statements of operations during the three and nine months ended September 30,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repayment, the principal amount of the Term Loans outstanding (the “Outstanding Principal Amount”) bore interest at a rate equal to 3-Month Term Secured Overnight Financing Rate (“SOFR”) plus 7.00% per annum. The 3-Month Term SOFR rate was subject to a floor of 4.00% per annum. Interest was payable quarterly in arrears on the last day of each calendar quarter. The Company had the option to pay up to 25% of the interest in-kind beginning on the Term Loans Closing Date, through and including March 31, 2026. During the three months ended March 31, 2026, the Company repaid approximately $3.1 million of interest-in-kind. The Company had recognized approximately $3.1 million of interest-in-kind as of December 31, 2025, which is included in long-term debt in the unaudited condensed consolidated balance sheet. The Term Loans would have matured on April 5, 2029, the fifth anniversary of the Term Loans Closing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2025 (in thousands):</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7"/>
        </w:trPr>
        <w:tc>
          <w:tcPr>
            <w:tcW w:w="9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9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9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8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50"/>
        </w:trPr>
        <w:tc>
          <w:tcPr>
            <w:tcW w:w="954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61,928</w:t>
            </w:r>
          </w:p>
        </w:tc>
      </w:tr>
      <w:tr>
        <w:trPr>
          <w:trHeight w:val="27"/>
        </w:trPr>
        <w:tc>
          <w:tcPr>
            <w:tcW w:w="9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9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recorded $37.8 million and $113.6 million, respectively, of revenue. For the three and nine months ended September 30, 2025, the Company recorded $26.1 million and $72.3 million, respectively, of revenue. Included in revenue for the nine months ended September 30, 2025, is a de minimis amount related to the licensing of certain 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20, 2024, the FDA approved MIPLYFFA (arimoclomol), an orally-delivered treatment for NPC, which is an ultra-rare and progressive neurodegenerative disease, for treatment in combination with miglustat. For the three and nine months ended September 30, 2026, sales of MIPLYFFA were $34.0 million and $88.9 million, respectively. For the three and nine months ended September 30, 2025, sales of MIPLYFFA were $22.4 million and $61.0 million,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2022, the FDA approved OLPRUVA (sodium phenylbutyrate), a prescription medicine used along with certain therapy, including changes in diet, for the chronic management of adults and children with certain UCDs. For the three and nine months ended September 30, 2026, sales of OLPRUVA were $0.2 million and $0.7 million, respectively. For the three and nine months ended September 30, 2025, sales of OLPRUVA were $0.1 million and $0.5 million, respectively.</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currently utilizes a single specialty pharmacy provider as its sole distributor for MIPLYFFA and OLPRUVA. The Company also enters into arrangements with health care providers and payors that provide for government mandated and/or privately negotiated rebates with respect to the purchase of its products. All estimated reserve liabilities related to commercial products are recorded within the current portion of discount and rebate liabilities in the unaudited condensed consolidated balance sheets. To commercialize MIPLYFFA and OLPRUVA in the United States, the Company has built marketing, sales, medical affairs, distribution, managerial and other non-technical capabilities or has made arrangements with third parties to perform these services. All revenues derived from sales of MIPLYFFA and OLPRUVA are in the United States.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Access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revenue related to the global EAP of $3.6 million and $22.7 million, respectively, net of a clawback liability and other adjustments of $2.5 million and $11.5 million, respectively. For the three and nine months ended September 30, 2025, the Company recognized revenue related to the global EAP of $2.4 million and $7.3 million, net of a clawback liability and other adjustments of $1.8 million and $5.5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estimated clawback reserve liability as of September 30, 2026, and December 31, 2025, was $14.8 million and $15.3 million, respectively. As of September 30, 2026, and December 31, 2025, this estimated reserve liability is recorded as discount and rebate liabilities in the unaudited condensed consolidated balance sheets and is separated into current and long-term based upon the timing of the expected payment to the French regulators.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AZSTARYS License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AZSTARYS License Agreement, as amended,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disorder. Corium Inc. was tasked by Commave to lead all commercialization activities for AZSTARYS under the AZSTARYS License Agreement. Pursuant to the AZSTARYS License Agreement, Commave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was obligated to make such royalty payments on a product-by-product basis until expiration of the royalty term for the applicable product.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three and nine months ended September 30, 2026, the Company recognized revenue under the AZSTARYS License Agreement of $0.0 million and $1.4 million, respectively, and all revenues recognized under this agreement were derived in the United States. For the three and nine months ended September 30, 2025, the Company recognized revenue under the AZSTARYS License Agreement of $1.2 million and $3.3 million, respectively. There was no deferred revenue related to this agreement as of September 30, 2026, or December 31, 2025. As further discussed in Note A, the Company and Commave agreed to terminate the AZSTARYS License Agreement during the first quarter of 2026, and therefore the Company will not recognize revenue in future periods under the agreement.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AZSTARYS License Agreement is within the scope of ASC 606, as the transaction represents a contract with a customer where the participants function in a customer/vendor relationship and are not exposed equally to the risks and rewards of the activities contemplated under the AZSTARYS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Relief Exclusive License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28, 2023, Acer and Relief Therapeutics SA (“Relief”) entered into an exclusive license agreement (the “Relief License Agreement”). Pursuant to the Relief License Agreement, Relief holds exclusive development and commercialization rights for OLPRUVA in the European Union (“EU”), Liechtenstein, San Marino, Vatican City, Norway, Iceland, Principality of Monaco, Andorra, Gibraltar, Switzerland, United Kingdom, Albania, Bosnia, Kosovo, Montenegro, Serbia and North Macedonia (“Geographical Europe”). The Company has the right to receive a royalty of up to 10% of the net sales of OLPRUVA in Geographical Europe. For the three and nine months ended September 30, 2026, and 2025, the Company did not recognize any revenue under the Relief License Agreement. There was no deferred revenue related to this agreement as of September 30, 2026, and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and Other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and other receivables consist of receivables from MIPLYFFA and OLPRUVA product sales, the global EAP, and other receivables due to the Company. Receivables under the global EAP are recorded for product sales of MIPLYFFA in France and select territories outside of Europe.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85"/>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receivables consist of the following (in thousands):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7"/>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accounts receivable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r>
      <w:tr>
        <w:trPr>
          <w:trHeight w:val="25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related to product reimbursements</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w:t>
            </w:r>
          </w:p>
        </w:tc>
      </w:tr>
      <w:tr>
        <w:trPr>
          <w:trHeight w:val="27"/>
        </w:trPr>
        <w:tc>
          <w:tcPr>
            <w:tcW w:w="7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accounts receivable</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5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7"/>
        </w:trPr>
        <w:tc>
          <w:tcPr>
            <w:tcW w:w="77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02"/>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no reserve or allowance for doubtful accounts had been established.</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Stock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Common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250,000,000 shares of authorized common stock. Of the authorized shares, 61,015,651 and 58,338,319 shares of common stock were issued as of September 30, 2026, and December 31, 2025, respectively, and 59,439,959 and 56,854,781 shares of common stock were outstanding as of September 30, 2026, and December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reserved authorized shares of common stock for future issuance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7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6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7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awards under equity incentive plans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6,999,571</w:t>
            </w: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7,060,457</w:t>
            </w:r>
          </w:p>
        </w:tc>
        <w:tc>
          <w:tcPr>
            <w:tcW w:w="0" w:type="dxa"/>
            <w:vAlign w:val="bottom"/>
          </w:tcPr>
          <w:p>
            <w:pPr>
              <w:spacing w:after="0"/>
              <w:rPr>
                <w:sz w:val="1"/>
                <w:szCs w:val="1"/>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2,529,379</w:t>
            </w: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4,024,157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future issuances under equity incentive plans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7,842,154</w:t>
            </w: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6,327,569</w:t>
            </w:r>
          </w:p>
        </w:tc>
        <w:tc>
          <w:tcPr>
            <w:tcW w:w="0" w:type="dxa"/>
            <w:vAlign w:val="bottom"/>
          </w:tcPr>
          <w:p>
            <w:pPr>
              <w:spacing w:after="0"/>
              <w:rPr>
                <w:sz w:val="1"/>
                <w:szCs w:val="1"/>
                <w:color w:val="auto"/>
              </w:rPr>
            </w:pPr>
          </w:p>
        </w:tc>
      </w:tr>
      <w:tr>
        <w:trPr>
          <w:trHeight w:val="25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Possible future issuances under employee stock purchase plan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925,230</w:t>
            </w: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1,011,962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common shares reserved for future issuance</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18,296,334</w:t>
            </w: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18,424,145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Activity</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7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common stock activity for the three and nine months ended September 30, 2026:</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7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0" w:type="dxa"/>
            <w:vAlign w:val="bottom"/>
          </w:tcPr>
          <w:p>
            <w:pPr>
              <w:spacing w:after="0"/>
              <w:rPr>
                <w:sz w:val="1"/>
                <w:szCs w:val="1"/>
                <w:color w:val="auto"/>
              </w:rPr>
            </w:pPr>
          </w:p>
        </w:tc>
      </w:tr>
      <w:tr>
        <w:trPr>
          <w:trHeight w:val="238"/>
        </w:trPr>
        <w:tc>
          <w:tcPr>
            <w:tcW w:w="77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56,854,781</w:t>
            </w:r>
          </w:p>
        </w:tc>
        <w:tc>
          <w:tcPr>
            <w:tcW w:w="0" w:type="dxa"/>
            <w:vAlign w:val="bottom"/>
          </w:tcPr>
          <w:p>
            <w:pPr>
              <w:spacing w:after="0"/>
              <w:rPr>
                <w:sz w:val="1"/>
                <w:szCs w:val="1"/>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955,575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warrants exercised</w:t>
            </w:r>
          </w:p>
        </w:tc>
        <w:tc>
          <w:tcPr>
            <w:tcW w:w="1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1,304,494</w:t>
            </w:r>
          </w:p>
        </w:tc>
        <w:tc>
          <w:tcPr>
            <w:tcW w:w="0" w:type="dxa"/>
            <w:vAlign w:val="bottom"/>
          </w:tcPr>
          <w:p>
            <w:pPr>
              <w:spacing w:after="0"/>
              <w:rPr>
                <w:sz w:val="1"/>
                <w:szCs w:val="1"/>
                <w:color w:val="auto"/>
              </w:rPr>
            </w:pPr>
          </w:p>
        </w:tc>
      </w:tr>
      <w:tr>
        <w:trPr>
          <w:trHeight w:val="25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59,114,850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tc>
        <w:tc>
          <w:tcPr>
            <w:tcW w:w="1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140,324</w:t>
            </w:r>
          </w:p>
        </w:tc>
        <w:tc>
          <w:tcPr>
            <w:tcW w:w="0" w:type="dxa"/>
            <w:vAlign w:val="bottom"/>
          </w:tcPr>
          <w:p>
            <w:pPr>
              <w:spacing w:after="0"/>
              <w:rPr>
                <w:sz w:val="1"/>
                <w:szCs w:val="1"/>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as a result of Employee Stock Purchase Plan</w:t>
            </w: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59,341,906</w:t>
            </w:r>
          </w:p>
        </w:tc>
        <w:tc>
          <w:tcPr>
            <w:tcW w:w="0" w:type="dxa"/>
            <w:vAlign w:val="bottom"/>
          </w:tcPr>
          <w:p>
            <w:pPr>
              <w:spacing w:after="0"/>
              <w:rPr>
                <w:sz w:val="1"/>
                <w:szCs w:val="1"/>
                <w:color w:val="auto"/>
              </w:rPr>
            </w:pPr>
          </w:p>
        </w:tc>
      </w:tr>
      <w:tr>
        <w:trPr>
          <w:trHeight w:val="25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as a result of stock options exercised or RSUs vested</w:t>
            </w: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98,053</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59,439,959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Issued, and Outstanding Preferred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10,000,000 shares of authorized, unallocated preferred stock. As of September 30, 2026, and December 31, 2025, no shares of preferred stock were designated, issued, or outstanding.</w:t>
      </w:r>
    </w:p>
    <w:p>
      <w:pPr>
        <w:sectPr>
          <w:pgSz w:w="11900" w:h="16838" w:orient="portrait"/>
          <w:cols w:equalWidth="0" w:num="1">
            <w:col w:w="11240"/>
          </w:cols>
          <w:pgMar w:left="320" w:top="108"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issued warrants to purchase common stock to various third parties, of which 2,529,379 remain outstanding as of September 30, 2026, and are immediately exercisable. These warrants qualify as participating securities under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and are treated as such in the net income (loss) per share calculation (Note J). The Company may be required to redeem these warrants for a cash amount equal to the BSM value of the portion of the warrants to be redeemed.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warrants are outstanding (but unexercised), the warrant holders will participate in any dividend or other distribution of the Company’s assets to its common stockholders by way of return of capital or otherwise. As of September 30, 2026, 2,954,158 of the warrants had been exercised or expired. As of December 31, 2025, 1,459,380 warrants had been exercised. The warrants have been evaluated to determine the appropriate accounting and classification pursuant to ASC 480 and ASC 815. Generally, freestanding warrants should be classified as (i) liabilities if the warrant terms allow settlement of the warrant exercise in cash and (ii) equity if the warrant terms only allow settlement in shares of common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its outstanding warrants should be recorded as a liability and stated at fair value at each reporting period. Changes to the fair value of the warrant liability are recorded through the unaudited condensed consolidated statements of operations as a fair value adjustment related to warrant and CVR liability. As of September 30, 2026, and December 31, 2025, the fair value of the liability associated with these warrants was approximately $7.7 million and $9.6 million, respectively. The fair value adjustment related to these warrants for the three and nine months ended September 30, 2026 was $5.5 million of income and $0.1 million of loss, respectively. The fair value adjustment related to these warrants for the three and nine months ended September 30, 2025 was $5.1 million and $3.1 million of loss, respectively.</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was 14,353,902 as of September 30, 2026. The number of shares of common stock reserved for issuance under the A&amp;R 2014 Plan automatically increases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2026, the common stock reserved for issuance under the A&amp;R 2014 Plan automatically increased by 2,274,191 shares.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98,053 and 1,097,846 stock options were exercised, respectively. During the three and nine months ended September 30, 2025, 86,628 and 1,162,133 stock options were exercised,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September 30, 2026, 574,770 shares have been issued under the ESPP.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Board approved the 2023 Employment Inducement Award Plan (as amended, the “2023 Plan”) to make equity awards to newly hired employees as a material inducement to employment in accordance with Nasdaq Rule 5635(c)(4). The maximum number of shares of common stock that may be issued under the 2023 Plan was 4,500,000 as of September 30,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February 2025, the Board approved the Tenth Amended and Restated Non-Employee Director Compensation Policy (the “Non-Employee Director Compensation Policy”). The equity compensation granted pursuant to the Non-Employee Director Compensation Policy is granted under the A&amp;R 2014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the A&amp;R 2014 Plan, ESPP and 2023 Plan is included in the following line items in the accompanying unaudited condensed consolidated statements of operations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5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7"/>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stock-based compensation expense related to performance-based awards recognized during the three and nine months ended September 30, 2026, and 2025, as the probability criteria was not met.</w:t>
      </w:r>
    </w:p>
    <w:p>
      <w:pPr>
        <w:spacing w:after="0" w:line="158"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0" w:lineRule="exact"/>
        <w:rPr>
          <w:sz w:val="20"/>
          <w:szCs w:val="20"/>
          <w:color w:val="auto"/>
        </w:rPr>
      </w:pPr>
    </w:p>
    <w:p>
      <w:pPr>
        <w:ind w:left="780" w:hanging="51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market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780" w:right="20" w:hanging="513"/>
        <w:spacing w:after="0" w:line="250" w:lineRule="auto"/>
        <w:tabs>
          <w:tab w:leader="none" w:pos="7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in active markets that are observable either directly or indirectly in the marketplace for identical or similar assets and liabilities; and</w:t>
      </w:r>
    </w:p>
    <w:p>
      <w:pPr>
        <w:ind w:left="780" w:hanging="513"/>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data, which require the Company to develop its own assumptions.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and other receivables, and accounts payable and accrued expenses approximate their respective fair values due to the short-term nature of such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2026, and December 31, 2025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438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7"/>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5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4"/>
        </w:trPr>
        <w:tc>
          <w:tcPr>
            <w:tcW w:w="4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148,743</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79,745</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68,998</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930"/>
        </w:trPr>
        <w:tc>
          <w:tcPr>
            <w:tcW w:w="128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6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6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1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7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6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7"/>
        </w:trPr>
        <w:tc>
          <w:tcPr>
            <w:tcW w:w="43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5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43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7"/>
        </w:trPr>
        <w:tc>
          <w:tcPr>
            <w:tcW w:w="4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r>
      <w:tr>
        <w:trPr>
          <w:trHeight w:val="20"/>
        </w:trPr>
        <w:tc>
          <w:tcPr>
            <w:tcW w:w="43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3"/>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57"/>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83"/>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176,484</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79,352</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common stock warrant liabilities were recorded at fair value using the BSM option pricing model. The following assumptions were used in determining the fair value of the warrant liabilities valued using the BSM option pricing model as of September 30, 2026, and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- 4.79%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 - 3.67%</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 - 65.51%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 - 66.70%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0.25 - 2.15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0.02 - 2.89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6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for the common stock warrant liabilities measured at fair value using Level 3 unobservable inputs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r>
      <w:tr>
        <w:trPr>
          <w:trHeight w:val="25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warrant liabilities</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7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changes in fair value of the warrant liabilities primarily resulted from changes in the discount rate and volatility.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relate to the Company's liabilities arising in connection with the CVRs.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contingent consideration liabilities for the CVRs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5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contingent consideration liabilities</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9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2"/>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changes in fair value of contingent consideration primarily resulted from changes in market data and revenue projections.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embedded derivative is classified as Level 3 in the fair value hierarchy and had no value at September 30, 2026 and December 31, 2025. The liability associated with the embedded derivative represented the fair value of the mandatory redemption provision in the Credit Agreement. During the nine months ended September 30, 2026, all outstanding obligations under the Credit Agreement were paid off which represented a triggering event. The embedded derivative was then re-valued, and extinguished together with the debt (see Note 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was determined using a Black-Derman-Toy (“BDT”) binomial lattice model in conjunction with a discounted cash flow methodology. The valuation incorporates a discount rate derived from the risk-free rate, based on the US Treasury Daily Treasury Par Yield Curve. The quantitative information about the significant unobservable inputs used in the Level 3 fair value measurement for the embedded derivative includes a credit spread of 5.53%.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embedded derivative (in thousands):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9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measurement of embedded derivative</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8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Extinguishments</w:t>
            </w:r>
          </w:p>
        </w:tc>
        <w:tc>
          <w:tcPr>
            <w:tcW w:w="5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37"/>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changes in fair value of the embedded derivative resulted from a change in probability of a triggering event occurring.</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Net Income (Loss)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two-class method requires earnings for the period to be allocated between common stock and participating securities based upon their respective rights to receive distributed and undistributed earnings. Under the two-class method, for periods with net income attributable to common stockholders, basic net income attributable to common stockholders per share of common stock is computed by dividing the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securities, presented on a common stock equivalent basis, have been excluded from the calculation of weighted-average number of shares of common stock outstanding because their effect is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right="1580"/>
        <w:spacing w:after="0" w:line="328" w:lineRule="auto"/>
        <w:rPr>
          <w:sz w:val="20"/>
          <w:szCs w:val="20"/>
          <w:color w:val="auto"/>
        </w:rPr>
      </w:pPr>
      <w:r>
        <w:rPr>
          <w:rFonts w:ascii="Times New Roman" w:cs="Times New Roman" w:eastAsia="Times New Roman" w:hAnsi="Times New Roman"/>
          <w:sz w:val="18"/>
          <w:szCs w:val="18"/>
          <w:color w:val="auto"/>
        </w:rPr>
        <w:t>Awards under equity incentive plans Common stock warrants</w:t>
      </w:r>
    </w:p>
    <w:p>
      <w:pPr>
        <w:spacing w:after="0" w:line="1" w:lineRule="exact"/>
        <w:rPr>
          <w:sz w:val="20"/>
          <w:szCs w:val="20"/>
          <w:color w:val="auto"/>
        </w:rPr>
      </w:pPr>
    </w:p>
    <w:p>
      <w:pPr>
        <w:jc w:val="right"/>
        <w:ind w:left="20"/>
        <w:spacing w:after="0" w:line="282" w:lineRule="auto"/>
        <w:rPr>
          <w:sz w:val="20"/>
          <w:szCs w:val="20"/>
          <w:color w:val="auto"/>
        </w:rPr>
      </w:pPr>
      <w:r>
        <w:rPr>
          <w:rFonts w:ascii="Times New Roman" w:cs="Times New Roman" w:eastAsia="Times New Roman" w:hAnsi="Times New Roman"/>
          <w:sz w:val="18"/>
          <w:szCs w:val="18"/>
          <w:color w:val="auto"/>
        </w:rPr>
        <w:t>Total securities excluded from the calculation of weighted average number of shares of common stock outstanding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2,224,345</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7,049,222</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2,224,345</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1,771,663</w:t>
            </w:r>
          </w:p>
        </w:tc>
      </w:tr>
      <w:tr>
        <w:trPr>
          <w:trHeight w:val="284"/>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1,529,379</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4,436,637</w:t>
            </w:r>
          </w:p>
        </w:tc>
        <w:tc>
          <w:tcPr>
            <w:tcW w:w="80" w:type="dxa"/>
            <w:vAlign w:val="bottom"/>
          </w:tcPr>
          <w:p>
            <w:pPr>
              <w:spacing w:after="0"/>
              <w:rPr>
                <w:sz w:val="24"/>
                <w:szCs w:val="2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426"/>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3,753,724</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11,485,859</w:t>
            </w:r>
          </w:p>
        </w:tc>
        <w:tc>
          <w:tcPr>
            <w:tcW w:w="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2,224,345</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1,771,663</w:t>
            </w:r>
          </w:p>
        </w:tc>
      </w:tr>
      <w:tr>
        <w:trPr>
          <w:trHeight w:val="27"/>
        </w:trPr>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-702310</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-334010</wp:posOffset>
            </wp:positionV>
            <wp:extent cx="7132320" cy="316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180"/>
            <w:col w:w="6840"/>
          </w:cols>
          <w:pgMar w:left="320" w:top="121" w:right="339" w:bottom="1440" w:gutter="0" w:footer="0" w:header="0"/>
          <w:type w:val="continuous"/>
        </w:sectPr>
      </w:pP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from net income (loss) to basic net income (loss) attributable to common stockholders per share of common stock and diluted net income (loss) attributable to common stockholders per share of common stock for the three and nine months ended September 30, 2026, and 2025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share of common stock:</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4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allocated to participating securities</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shares of common stock</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63,143</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Less: Dividends declared or accumulated</w:t>
            </w:r>
          </w:p>
        </w:tc>
        <w:tc>
          <w:tcPr>
            <w:tcW w:w="2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Undistributed net income (loss) attributable to shares of common stock, basic</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63,143</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Basic net income (loss) per share of common stock</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common stock:</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(loss) attributable to shares of common stock</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63,143</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Plus: Fair value adjustment income related to warrant liability</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shares of common stock, diluted</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15,972</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63,143</w:t>
            </w:r>
          </w:p>
        </w:tc>
        <w:tc>
          <w:tcPr>
            <w:tcW w:w="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65,755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54,949</w:t>
            </w:r>
          </w:p>
        </w:tc>
        <w:tc>
          <w:tcPr>
            <w:tcW w:w="0" w:type="dxa"/>
            <w:vAlign w:val="bottom"/>
          </w:tcPr>
          <w:p>
            <w:pPr>
              <w:spacing w:after="0"/>
              <w:rPr>
                <w:sz w:val="1"/>
                <w:szCs w:val="1"/>
                <w:color w:val="auto"/>
              </w:rPr>
            </w:pPr>
          </w:p>
        </w:tc>
      </w:tr>
      <w:tr>
        <w:trPr>
          <w:trHeight w:val="257"/>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effect of outstanding stock options (as converted to common stock)</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diluted</w:t>
            </w:r>
          </w:p>
        </w:tc>
        <w:tc>
          <w:tcPr>
            <w:tcW w:w="2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61,732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55,952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61,103</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56,783</w:t>
            </w:r>
          </w:p>
        </w:tc>
        <w:tc>
          <w:tcPr>
            <w:tcW w:w="0" w:type="dxa"/>
            <w:vAlign w:val="bottom"/>
          </w:tcPr>
          <w:p>
            <w:pPr>
              <w:spacing w:after="0"/>
              <w:rPr>
                <w:sz w:val="1"/>
                <w:szCs w:val="1"/>
                <w:color w:val="auto"/>
              </w:rPr>
            </w:pPr>
          </w:p>
        </w:tc>
      </w:tr>
      <w:tr>
        <w:trPr>
          <w:trHeight w:val="277"/>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Diluted net income (loss) per share of common stock</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office space and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unaudited condensed consolidated balance sheets. Lease expense for these arrangements is recognized on straight-line bases over the lease term. The Company’s leases have remaining lease terms of less than one year and up to approximately three years, and some which include options to terminate the leases within one year. In March 2026, we entered into a lease related to our corporate headquarters to provide us with additional office space, which commenced in June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4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4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4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4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7"/>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1160" w:type="dxa"/>
            <w:vAlign w:val="bottom"/>
          </w:tcPr>
          <w:p>
            <w:pPr>
              <w:spacing w:after="0"/>
              <w:rPr>
                <w:sz w:val="22"/>
                <w:szCs w:val="2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4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0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99"/>
        </w:trPr>
        <w:tc>
          <w:tcPr>
            <w:tcW w:w="7760" w:type="dxa"/>
            <w:vAlign w:val="bottom"/>
          </w:tcPr>
          <w:p>
            <w:pPr>
              <w:spacing w:after="0"/>
              <w:rPr>
                <w:sz w:val="24"/>
                <w:szCs w:val="24"/>
                <w:color w:val="auto"/>
              </w:rPr>
            </w:pPr>
          </w:p>
        </w:tc>
        <w:tc>
          <w:tcPr>
            <w:tcW w:w="348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7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7"/>
        </w:trPr>
        <w:tc>
          <w:tcPr>
            <w:tcW w:w="7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0"/>
        </w:trPr>
        <w:tc>
          <w:tcPr>
            <w:tcW w:w="77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thousands, except weighted average remaining lease term and weighted average discount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1,212</w:t>
            </w:r>
          </w:p>
        </w:tc>
      </w:tr>
      <w:tr>
        <w:trPr>
          <w:trHeight w:val="270"/>
        </w:trPr>
        <w:tc>
          <w:tcPr>
            <w:tcW w:w="7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r>
      <w:tr>
        <w:trPr>
          <w:trHeight w:val="257"/>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7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52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on lease liabilities were as follows (in thousands):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7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5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7"/>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5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5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02"/>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&amp;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balance was $4.7 million as of September 30, 2026, and December 31, 2025.</w:t>
      </w:r>
    </w:p>
    <w:p>
      <w:pPr>
        <w:sectPr>
          <w:pgSz w:w="11900" w:h="16838" w:orient="portrait"/>
          <w:cols w:equalWidth="0" w:num="1">
            <w:col w:w="11240"/>
          </w:cols>
          <w:pgMar w:left="320" w:top="121" w:right="339" w:bottom="947"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47"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June 30, 2025, the Company had a definite-lived intangible asset, net related to the acquisition of OLPRUVA of $60.0 million, which was reviewed for impairment whenever events or changes in circumstances indicated that their carrying amounts may not be recoverable.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second quarter of 2025, the Company assessed the results of its refined commercial efforts related to OLPRUVA. This was determined to be a triggering event that could result in a decrease in future expected cash flows, and thus indicated the carrying amount of the OLPRUVA asset group may not be fully recoverable. The Company performed an undiscounted cash flow analysis over the OLPRUVA asset group and determined that the carrying value of the asset group was not recoverable. The Company then estimated the fair value of the asset group to measure the impairment loss for the period. The fair value measurement was based on Level 3 inputs including projected sales driven by market share and product sales price estimates, associated expenses, growth rates, and the discount rate used to measure the fair value of the net cash flows associated with this asset group. The Company recorded an intangible asset impairment charge in the second quarter of 2025, which resulted in reducing the OLPRUVA intangible asset value to zero.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impairment discussed above, the OLPRUVA definite-lived intangible asset was being amortized on a straight-line basis over the OLPRUVA patent life of 13 years. Amortization expense is recorded as intangible asset amortization in the unaudited condensed consolidated statements of operations and was $0.0 million and $2.6 million for the three and nine months ended September 30, 2025,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XOMA License Agreement, a regulatory milestone payment of $6.0 million was due to XOMA upon approval of MIPLYFFA in the United States, which the Company paid in October 2024. This definite-lived intangible asset is amortized on a straight-line basis over the MIPLYFFA patent life of approximately five years and is reviewed periodically for impairment. Amortization expense is recorded as intangible asset amortization in the unaudited condensed consolidated statements of operations and was $0.3 million for the three months ended September 30, 2026, and 2025, respectively. Amortization expense was $0.9 million for the nine months ended September 30, 2026, and 2025,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intangible assets subject to amortization, estimated amortization expense for the five fiscal years subsequent to September 30, 2026, is expected to be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nine months ended September 30, 2026)</w:t>
            </w:r>
          </w:p>
        </w:tc>
        <w:tc>
          <w:tcPr>
            <w:tcW w:w="32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5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7"/>
        </w:trPr>
        <w:tc>
          <w:tcPr>
            <w:tcW w:w="7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5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7"/>
        </w:trPr>
        <w:tc>
          <w:tcPr>
            <w:tcW w:w="71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non-amortizable intangible assets include IPR&amp;D of $2.0 million.</w:t>
      </w:r>
    </w:p>
    <w:p>
      <w:pPr>
        <w:spacing w:after="0" w:line="221"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no accruals were made related to commitments and contingencies.</w:t>
      </w:r>
    </w:p>
    <w:p>
      <w:pPr>
        <w:spacing w:after="0" w:line="2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N.</w:t>
        <w:tab/>
        <w:t>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events and transactions occurring subsequent to September 30, 2026, through November 3, 2026, the date the accompanying unaudited condensed consolidated financial statements were issued.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this period, there were no subsequent events that required recognition in the accompanying unaudited condensed consolidated financial statements, nor were there any additional non-recognized subsequent events that required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2025, filed with the SEC on March 9, 2026, as supplemented in Part II, Item 1A. “Risk Factors” of our Quarterly Report on Form 10-Q for the quarter ended March 31, 2026, filed with the SEC on May 6, 2026,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commercial-stage company with a late-stage pipeline committed to redefining what is possible in bringing life-changing therapeutics to people living with rare diseases. We are focused on broadening access through geographic expansion opportunities, progressing our pipeline toward key milestones, and delivering meaningful therapeutics. Our vision is realized through disciplined execution of our strategic plan and our core values — patient centricity, integrity, accountability, innovation, and courage — which guide our efforts to deliver long-term value. The commercialization of our lead product, MIPLYFFA (arimoclomol), marketed in the United States for Niemann-Pick disease type C ("NPC"), a rare, progressive neurodegenerative disorder, provides a strong corporate foundation and demonstrates our ability to advance therapies from development to market.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we changed our name to Zevra Therapeutics, Inc.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strategic plan is focused on transforming Zevra into a leading rare-disease company. We are prioritizing the commercialization and global expansion of MIPLYFFA, while OLPRUVA remains commercially available. We are also advancing the development of our clinical stage asset, celiprolol, and plan to further expand our pipeline through inorganic growth. We intend to become the preferred partner for assets that we believe will allow us to leverage the expertise and infrastructure that we have built to help mitigate risk and enhance our probability of success.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20, 2024, the U.S. Food and Drug Administration (“FDA”) approved the New Drug Application (“NDA”) for MIPLYFFA, for use in combination with miglustat for the treatment of neurological manifestations of NPC in adult and pediatric patients two years of age and older, and MIPLYFFA became commercially available for dispense in the United States in November 2024. In connection with this approval, we received a transferable rare pediatric disease priority review voucher (“PRV”). On April 1, 2025, we consummated the sale of the PRV, resulting in net proceeds of $148.3 million to us. Arimoclomol has also been granted orphan medicinal product designation for the treatment of NPC by the European Commission. We are pursuing regulatory approval of arimoclomol in Europe and filed a Marketing Authorization Application (“MAA”) with the European Medicines Agency (“EMA”) in July 2025. In July 2026, we announced that the Committee for Medicinal Products for Human Use (CHMP) of the EMA adopted a negative opinion regarding the MAA. Under European regulatory procedures, we have requested a re-examination of the CHMP opinion.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we completed the acquisition of Acer Therapeutics, Inc. (“Acer”), pursuant to which Acer became a wholly-owned subsidiary of Zevra. This included the acquisition of OLPRUVA (sodium phenylbutyrate) for oral suspension, which was approved by the FDA on December 22, 2022, for the treatment of certain urea cycle disorders (“UCDs”). In addition, we acquired Acer's pipeline of investigational product candidates, including celiprolol for the treatment of Vascular Ehlers-Danlos syndrome (VEDS) in patients with a confirmed type III collagen (COL3A1) mutation.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2026, we entered into an Asset Purchase and Settlement Agreement (the “Commave Settlement Agreement”) with Commave Therapeutics SA (“Commave”) to sell all of our rights to certain assets relating to our SDX portfolio, including AZSTARYS and KP1077, to Commave and to resolve pending litigation related to claims arising under the Collaboration and License Agreement between the parties dated September 3, 2019, as amended (the “AZSTARYS License Agreement”). Under the Commave Settlement Agreement, the AZSTARYS License Agreement was terminated in its entirety.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recently had several quarters of positive net cash flows from operations, we previously had recurring negative net operating cash flows, and we cannot guarantee that we can continue to generate positive net cash flows from operations. Net cash provided by (used in) operating activities for the nine months ended September 30, 2026, and 2025, was $33.2 million and $(7.1)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million, respectively. 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spacing w:after="0" w:line="176" w:lineRule="exact"/>
        <w:rPr>
          <w:sz w:val="20"/>
          <w:szCs w:val="20"/>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building and maintaining our ongoing commercial capabilities to support the commercialization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trials for celiprolol or initiate preclinical studies, clinical trials and product development activities for future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license or acquire, and develop additional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 and Approved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commercial products and active development assets are summarized in the table below:</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Active Zevra Commercial and Active Development Assets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Parent Drug</w:t>
            </w:r>
          </w:p>
        </w:tc>
        <w:tc>
          <w:tcPr>
            <w:tcW w:w="2380" w:type="dxa"/>
            <w:vAlign w:val="bottom"/>
            <w:tcBorders>
              <w:top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Product /</w:t>
            </w:r>
          </w:p>
        </w:tc>
        <w:tc>
          <w:tcPr>
            <w:tcW w:w="5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 and IP</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continue"/>
          </w:tcPr>
          <w:p>
            <w:pPr>
              <w:spacing w:after="0"/>
              <w:rPr>
                <w:sz w:val="11"/>
                <w:szCs w:val="11"/>
                <w:color w:val="auto"/>
              </w:rPr>
            </w:pPr>
          </w:p>
        </w:tc>
        <w:tc>
          <w:tcPr>
            <w:tcW w:w="238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Candidate</w:t>
            </w:r>
          </w:p>
        </w:tc>
        <w:tc>
          <w:tcPr>
            <w:tcW w:w="5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spacing w:after="0"/>
              <w:rPr>
                <w:sz w:val="9"/>
                <w:szCs w:val="9"/>
                <w:color w:val="auto"/>
              </w:rPr>
            </w:pPr>
          </w:p>
        </w:tc>
        <w:tc>
          <w:tcPr>
            <w:tcW w:w="238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5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shd w:val="clear" w:color="auto" w:fill="CCEEFF"/>
          </w:tcPr>
          <w:p>
            <w:pPr>
              <w:spacing w:after="0"/>
              <w:rPr>
                <w:sz w:val="20"/>
                <w:szCs w:val="20"/>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Niemann-Pick disease type C</w:t>
            </w:r>
          </w:p>
        </w:tc>
        <w:tc>
          <w:tcPr>
            <w:tcW w:w="1360" w:type="dxa"/>
            <w:vAlign w:val="bottom"/>
            <w:tcBorders>
              <w:right w:val="single" w:sz="8" w:color="auto"/>
            </w:tcBorders>
            <w:shd w:val="clear" w:color="auto" w:fill="CCEEFF"/>
          </w:tcPr>
          <w:p>
            <w:pPr>
              <w:spacing w:after="0"/>
              <w:rPr>
                <w:sz w:val="20"/>
                <w:szCs w:val="20"/>
                <w:color w:val="auto"/>
              </w:rPr>
            </w:pPr>
          </w:p>
        </w:tc>
        <w:tc>
          <w:tcPr>
            <w:tcW w:w="52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FDA Approval: Sep. 20, 2024; Orphan Drug Exclusivity (“ODE”)</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Arimoclomol</w:t>
            </w:r>
          </w:p>
        </w:tc>
        <w:tc>
          <w:tcPr>
            <w:tcW w:w="238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MIPLYFFA</w:t>
            </w:r>
          </w:p>
        </w:tc>
        <w:tc>
          <w:tcPr>
            <w:tcW w:w="5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through 2031; IP through 2041</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(NPC)</w:t>
            </w:r>
          </w:p>
        </w:tc>
        <w:tc>
          <w:tcPr>
            <w:tcW w:w="1360" w:type="dxa"/>
            <w:vAlign w:val="bottom"/>
            <w:tcBorders>
              <w:right w:val="single" w:sz="8" w:color="auto"/>
            </w:tcBorders>
            <w:vMerge w:val="continue"/>
            <w:shd w:val="clear" w:color="auto" w:fill="CCEEFF"/>
          </w:tcPr>
          <w:p>
            <w:pPr>
              <w:spacing w:after="0"/>
              <w:rPr>
                <w:sz w:val="10"/>
                <w:szCs w:val="10"/>
                <w:color w:val="auto"/>
              </w:rPr>
            </w:pPr>
          </w:p>
        </w:tc>
        <w:tc>
          <w:tcPr>
            <w:tcW w:w="5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shd w:val="clear" w:color="auto" w:fill="CCEEFF"/>
          </w:tcPr>
          <w:p>
            <w:pPr>
              <w:spacing w:after="0"/>
              <w:rPr>
                <w:sz w:val="9"/>
                <w:szCs w:val="9"/>
                <w:color w:val="auto"/>
              </w:rPr>
            </w:pPr>
          </w:p>
        </w:tc>
        <w:tc>
          <w:tcPr>
            <w:tcW w:w="2380" w:type="dxa"/>
            <w:vAlign w:val="bottom"/>
            <w:tcBorders>
              <w:right w:val="single" w:sz="8" w:color="auto"/>
            </w:tcBorders>
            <w:vMerge w:val="continue"/>
            <w:shd w:val="clear" w:color="auto" w:fill="CCEEFF"/>
          </w:tcPr>
          <w:p>
            <w:pPr>
              <w:spacing w:after="0"/>
              <w:rPr>
                <w:sz w:val="9"/>
                <w:szCs w:val="9"/>
                <w:color w:val="auto"/>
              </w:rPr>
            </w:pPr>
          </w:p>
        </w:tc>
        <w:tc>
          <w:tcPr>
            <w:tcW w:w="1360" w:type="dxa"/>
            <w:vAlign w:val="bottom"/>
            <w:tcBorders>
              <w:right w:val="single" w:sz="8" w:color="auto"/>
            </w:tcBorders>
            <w:shd w:val="clear" w:color="auto" w:fill="CCEEFF"/>
          </w:tcPr>
          <w:p>
            <w:pPr>
              <w:spacing w:after="0"/>
              <w:rPr>
                <w:sz w:val="9"/>
                <w:szCs w:val="9"/>
                <w:color w:val="auto"/>
              </w:rPr>
            </w:pPr>
          </w:p>
        </w:tc>
        <w:tc>
          <w:tcPr>
            <w:tcW w:w="52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2380" w:type="dxa"/>
            <w:vAlign w:val="bottom"/>
            <w:tcBorders>
              <w:bottom w:val="single" w:sz="8" w:color="auto"/>
              <w:right w:val="single" w:sz="8" w:color="auto"/>
            </w:tcBorders>
            <w:shd w:val="clear" w:color="auto" w:fill="CCEEFF"/>
          </w:tcPr>
          <w:p>
            <w:pPr>
              <w:spacing w:after="0"/>
              <w:rPr>
                <w:sz w:val="11"/>
                <w:szCs w:val="11"/>
                <w:color w:val="auto"/>
              </w:rPr>
            </w:pPr>
          </w:p>
        </w:tc>
        <w:tc>
          <w:tcPr>
            <w:tcW w:w="1360" w:type="dxa"/>
            <w:vAlign w:val="bottom"/>
            <w:tcBorders>
              <w:bottom w:val="single" w:sz="8" w:color="auto"/>
              <w:right w:val="single" w:sz="8" w:color="auto"/>
            </w:tcBorders>
            <w:shd w:val="clear" w:color="auto" w:fill="CCEEFF"/>
          </w:tcPr>
          <w:p>
            <w:pPr>
              <w:spacing w:after="0"/>
              <w:rPr>
                <w:sz w:val="11"/>
                <w:szCs w:val="11"/>
                <w:color w:val="auto"/>
              </w:rPr>
            </w:pPr>
          </w:p>
        </w:tc>
        <w:tc>
          <w:tcPr>
            <w:tcW w:w="524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5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Expanded Access Program (“EAP”)</w:t>
            </w:r>
          </w:p>
        </w:tc>
        <w:tc>
          <w:tcPr>
            <w:tcW w:w="0" w:type="dxa"/>
            <w:vAlign w:val="bottom"/>
          </w:tcPr>
          <w:p>
            <w:pPr>
              <w:spacing w:after="0"/>
              <w:rPr>
                <w:sz w:val="1"/>
                <w:szCs w:val="1"/>
                <w:color w:val="auto"/>
              </w:rPr>
            </w:pPr>
          </w:p>
        </w:tc>
      </w:tr>
      <w:tr>
        <w:trPr>
          <w:trHeight w:val="324"/>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Arimoclomol</w:t>
            </w:r>
          </w:p>
        </w:tc>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NPC</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Arimoclomol</w:t>
            </w:r>
          </w:p>
        </w:tc>
        <w:tc>
          <w:tcPr>
            <w:tcW w:w="5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Marketing Authorisation Application (“MAA”) for arimoclomol under</w:t>
            </w:r>
          </w:p>
        </w:tc>
        <w:tc>
          <w:tcPr>
            <w:tcW w:w="0" w:type="dxa"/>
            <w:vAlign w:val="bottom"/>
          </w:tcPr>
          <w:p>
            <w:pPr>
              <w:spacing w:after="0"/>
              <w:rPr>
                <w:sz w:val="1"/>
                <w:szCs w:val="1"/>
                <w:color w:val="auto"/>
              </w:rPr>
            </w:pPr>
          </w:p>
        </w:tc>
      </w:tr>
      <w:tr>
        <w:trPr>
          <w:trHeight w:val="90"/>
        </w:trPr>
        <w:tc>
          <w:tcPr>
            <w:tcW w:w="2280" w:type="dxa"/>
            <w:vAlign w:val="bottom"/>
            <w:tcBorders>
              <w:left w:val="single" w:sz="8" w:color="auto"/>
              <w:right w:val="single" w:sz="8" w:color="auto"/>
            </w:tcBorders>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review by EMA, Submitted July 28, 2025</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Sodium phenylbutyrate</w:t>
            </w:r>
          </w:p>
        </w:tc>
        <w:tc>
          <w:tcPr>
            <w:tcW w:w="238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Urea Cycle</w:t>
            </w:r>
          </w:p>
        </w:tc>
        <w:tc>
          <w:tcPr>
            <w:tcW w:w="13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OLPRUVA</w:t>
            </w:r>
          </w:p>
        </w:tc>
        <w:tc>
          <w:tcPr>
            <w:tcW w:w="5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FDA Approval: Dec. 22, 2022; IP through 2036</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2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Disorders (UCD)</w:t>
            </w:r>
          </w:p>
        </w:tc>
        <w:tc>
          <w:tcPr>
            <w:tcW w:w="1360" w:type="dxa"/>
            <w:vAlign w:val="bottom"/>
            <w:tcBorders>
              <w:right w:val="single" w:sz="8" w:color="auto"/>
            </w:tcBorders>
            <w:vMerge w:val="continue"/>
            <w:shd w:val="clear" w:color="auto" w:fill="CCEEFF"/>
          </w:tcPr>
          <w:p>
            <w:pPr>
              <w:spacing w:after="0"/>
              <w:rPr>
                <w:sz w:val="10"/>
                <w:szCs w:val="10"/>
                <w:color w:val="auto"/>
              </w:rPr>
            </w:pPr>
          </w:p>
        </w:tc>
        <w:tc>
          <w:tcPr>
            <w:tcW w:w="52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bottom w:val="single" w:sz="8" w:color="CCEEFF"/>
              <w:right w:val="single" w:sz="8" w:color="auto"/>
            </w:tcBorders>
            <w:shd w:val="clear" w:color="auto" w:fill="CCEEFF"/>
          </w:tcPr>
          <w:p>
            <w:pPr>
              <w:spacing w:after="0"/>
              <w:rPr>
                <w:sz w:val="11"/>
                <w:szCs w:val="11"/>
                <w:color w:val="auto"/>
              </w:rPr>
            </w:pPr>
          </w:p>
        </w:tc>
        <w:tc>
          <w:tcPr>
            <w:tcW w:w="2380" w:type="dxa"/>
            <w:vAlign w:val="bottom"/>
            <w:tcBorders>
              <w:bottom w:val="single" w:sz="8" w:color="CCEEFF"/>
              <w:right w:val="single" w:sz="8" w:color="auto"/>
            </w:tcBorders>
            <w:vMerge w:val="continue"/>
            <w:shd w:val="clear" w:color="auto" w:fill="CCEEFF"/>
          </w:tcPr>
          <w:p>
            <w:pPr>
              <w:spacing w:after="0"/>
              <w:rPr>
                <w:sz w:val="11"/>
                <w:szCs w:val="11"/>
                <w:color w:val="auto"/>
              </w:rPr>
            </w:pPr>
          </w:p>
        </w:tc>
        <w:tc>
          <w:tcPr>
            <w:tcW w:w="1360" w:type="dxa"/>
            <w:vAlign w:val="bottom"/>
            <w:tcBorders>
              <w:bottom w:val="single" w:sz="8" w:color="CCEEFF"/>
              <w:right w:val="single" w:sz="8" w:color="auto"/>
            </w:tcBorders>
            <w:shd w:val="clear" w:color="auto" w:fill="CCEEFF"/>
          </w:tcPr>
          <w:p>
            <w:pPr>
              <w:spacing w:after="0"/>
              <w:rPr>
                <w:sz w:val="11"/>
                <w:szCs w:val="11"/>
                <w:color w:val="auto"/>
              </w:rPr>
            </w:pPr>
          </w:p>
        </w:tc>
        <w:tc>
          <w:tcPr>
            <w:tcW w:w="5240" w:type="dxa"/>
            <w:vAlign w:val="bottom"/>
            <w:tcBorders>
              <w:bottom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2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Celiprolol</w:t>
            </w:r>
          </w:p>
        </w:tc>
        <w:tc>
          <w:tcPr>
            <w:tcW w:w="2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Vascular Ehlers</w:t>
            </w: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Celiprolol</w:t>
            </w:r>
          </w:p>
        </w:tc>
        <w:tc>
          <w:tcPr>
            <w:tcW w:w="5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Clinical - Phase 3 trial ongoing; IP potential through 2038</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Danlos Syndrome (VEDS)</w:t>
            </w:r>
          </w:p>
        </w:tc>
        <w:tc>
          <w:tcPr>
            <w:tcW w:w="1360" w:type="dxa"/>
            <w:vAlign w:val="bottom"/>
            <w:tcBorders>
              <w:right w:val="single" w:sz="8" w:color="auto"/>
            </w:tcBorders>
            <w:vMerge w:val="continue"/>
          </w:tcPr>
          <w:p>
            <w:pPr>
              <w:spacing w:after="0"/>
              <w:rPr>
                <w:sz w:val="10"/>
                <w:szCs w:val="10"/>
                <w:color w:val="auto"/>
              </w:rPr>
            </w:pPr>
          </w:p>
        </w:tc>
        <w:tc>
          <w:tcPr>
            <w:tcW w:w="5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tcPr>
          <w:p>
            <w:pPr>
              <w:spacing w:after="0"/>
              <w:rPr>
                <w:sz w:val="9"/>
                <w:szCs w:val="9"/>
                <w:color w:val="auto"/>
              </w:rPr>
            </w:pPr>
          </w:p>
        </w:tc>
        <w:tc>
          <w:tcPr>
            <w:tcW w:w="238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52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MIPLYFFA</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NPC is an ultra-rare and progressive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2,000 individuals with NPC in the United States and Europe combined, of which approximately 900 are in the United States and 1,100 are in Europe, where there is a mature market with an approved treatment available for NPC. Of this estimated population, approximately 300 to 350 people have been diagnosed in the United States. NPC is clinically heterogeneous, with significant variability in symptom presentation and rate of progression. Although it has traditionally been considered a pediatric disease due to its genetic origins, nearly half of the people treated with MIPLYFFA are adults. Low diagnostic rates may affect the number of potential patients, and we believe that the availability of treatment options in the United States could increase awareness of the disease and assist in more accurately identifying patients.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20, 2024, the FDA approved the NDA for MIPLYFFA, an orally-delivered treatment, for NPC. MIPLYFFA, the first FDA-approved treatment for NPC, is indicated for use in combination with miglustat for the treatment of neurological manifestations of NPC in adult and pediatric patients two years of age and older. In addition, we received a transferable rare pediatric disease PRV in conjunction with the approval. On April 1, 2025, we completed the sale of the PRV and received net proceeds of $148.3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therapies to treat NPC are desperately needed, and, for this reason, arimoclomol is currently being made available to NPC patients in France, Germany, and other EU member states, along with select territories outside of Europe under our global EAP. Arimoclomol has also been granted orphan medicinal product designation for the treatment of NPC by the European Commission. In July 2025, we filed an MAA. In July 2026, we announced that the CHMP of the EMA adopted a negative opinion regarding the MAA. We have requested a re-examination of the CHMP opinion.</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2026, Zevra published positive results of an open-label pediatric substudy in the peer reviewed journal </w:t>
      </w:r>
      <w:r>
        <w:rPr>
          <w:rFonts w:ascii="Times New Roman" w:cs="Times New Roman" w:eastAsia="Times New Roman" w:hAnsi="Times New Roman"/>
          <w:sz w:val="18"/>
          <w:szCs w:val="18"/>
          <w:i w:val="1"/>
          <w:iCs w:val="1"/>
          <w:color w:val="auto"/>
        </w:rPr>
        <w:t>Molecular Genetics and Metabolism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This multicenter substudy evaluated arimoclomol, in addition to concomitant miglustat, in patients with a confirmed diagnosis of NPC1 or NPC2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aged 6 to &lt;24 months at study enrollment over up to 36 months of treatment. In the five patients enrolled, arimoclomol was generally well tolerated, with no new safety signals, and pharmacokinetic results were consistent with older pediatric populations. Developmental assessments showed variable delays, reflecting underlying phenotypic heterogeneity. Although limited by small sample size, the study provides preliminary evidence supporting initiation of MIPLYFFA in this age group.</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there were a total of 197 enrollments to receive MIPLYFFA. For MIPLYFFA, an enrollment is a prescription submitted to our specialty pharmacy, initiating the benefits investigation process to determine reimbursement and can lead to a 30-day paid dispense of MIPLYFFA. Our commercial plans focus on raising awareness among people who are living with NPC that are diagnosed and untreated, or undiagnosed.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commercialize MIPLYFFA in the United States, we have built in-house capabilities, and have arrangements with third parties, to perform marketing, sales, medical affairs, distribution, managerial and other non-technical capabilities. Zevra holds global rights to develop and commercialize MIPLYFFA.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MIPLYFFA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halting of disease progression. </w:t>
      </w:r>
      <w:r>
        <w:rPr>
          <w:rFonts w:ascii="Times New Roman" w:cs="Times New Roman" w:eastAsia="Times New Roman" w:hAnsi="Times New Roman"/>
          <w:sz w:val="18"/>
          <w:szCs w:val="18"/>
          <w:color w:val="auto"/>
        </w:rPr>
        <w:t>MIPLYFFA in combination with miglustat demonstrated a clinically significant improvement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placebo as early as 12 weeks and a halting of progression of the disease through 12 months of treatment. Data from the 48-month Open Label Extension study confirms the effectiveness of MIPLYFFA in slowing disease progression over multiple years.</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Ease of flexible administration as an oral treatment. </w:t>
      </w:r>
      <w:r>
        <w:rPr>
          <w:rFonts w:ascii="Times New Roman" w:cs="Times New Roman" w:eastAsia="Times New Roman" w:hAnsi="Times New Roman"/>
          <w:sz w:val="18"/>
          <w:szCs w:val="18"/>
          <w:color w:val="auto"/>
        </w:rPr>
        <w:t>MIPLYFFA is administered as an oral capsule that can be swallowed whole, opened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contents mixed with foods or liquids, or delivered through a feeding tube.</w:t>
      </w:r>
    </w:p>
    <w:p>
      <w:pPr>
        <w:spacing w:after="0" w:line="154"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clinical experience with favorable safety data. </w:t>
      </w:r>
      <w:r>
        <w:rPr>
          <w:rFonts w:ascii="Times New Roman" w:cs="Times New Roman" w:eastAsia="Times New Roman" w:hAnsi="Times New Roman"/>
          <w:sz w:val="18"/>
          <w:szCs w:val="18"/>
          <w:color w:val="auto"/>
        </w:rPr>
        <w:t>Over 600 patients have been treated with arimoclomol across various clinical trials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indications as well as through our global EAP, with limited safety findings. Further, in a pediatric sub-study of patients aged 6-24 months, arimoclomol was well tolerated following at least 12 months of treatment with no new safety concerns observed.</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Advantageous regulatory designations. </w:t>
      </w:r>
      <w:r>
        <w:rPr>
          <w:rFonts w:ascii="Times New Roman" w:cs="Times New Roman" w:eastAsia="Times New Roman" w:hAnsi="Times New Roman"/>
          <w:sz w:val="18"/>
          <w:szCs w:val="18"/>
          <w:color w:val="auto"/>
        </w:rPr>
        <w:t>Arimoclomol has been granted orphan medicinal product designation for the treatment of NPC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European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OLPRUVA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with nitrogen scavenging therapy in the United States. While there are therapies currently approved for the treatment of UCDs, we believe that OLPRUVA offers benefits over other UCD treatments by eliminating issues with palatability, offering improved portability with its single-dose envelopes, and being provided in a dosage personalized to the patient based on weight.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OLPRUVA (sodium phenylbutyrate) for oral suspension is approved in the United States as adjunctive therapy to standard of care, which includes dietary management, for the chronic management of UCDs involving deficiencies of carbamylphosphate synthetase (CPS), ornithine transcarbamylase (OTC), or argininosuccinic acid synthetase (AS). OLPRUVA for oral suspension is a proprietary and novel formulation of sodium phenylbutyrate powder, packaged in pre-measured single-dose envelopes, that has shown bioequivalence to existing sodium phenylbutyrate powder but with a pH-sensitive polymer coating that is designed to minimize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of the coating for up to five minutes after preparation to help minimize the unpleasant taste of the sodium phenylbutyrate powder.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began generating revenue from the sale of OLPRUVA in the United States. Zevra has a partnership with Relief Therapeutics SA (“Relief”), which has rights to commercialize OLPRUVA in various European countries, if approved. For the three and nine months ended September 30, 2026, we had $0.2 million and $0.7 million in revenue, respectively, from sales of OLPRUVA. We have made the decision to scale back our sales and marketing efforts for OLPRUVA as we evaluate the path forward and weigh strategic alternatives.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OLPRUVA summary:</w:t>
      </w:r>
    </w:p>
    <w:p>
      <w:pPr>
        <w:spacing w:after="0" w:line="221" w:lineRule="exact"/>
        <w:rPr>
          <w:sz w:val="20"/>
          <w:szCs w:val="20"/>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available in the U.S. for the treatment of certain types of UCDs. </w:t>
      </w:r>
      <w:r>
        <w:rPr>
          <w:rFonts w:ascii="Times New Roman" w:cs="Times New Roman" w:eastAsia="Times New Roman" w:hAnsi="Times New Roman"/>
          <w:sz w:val="18"/>
          <w:szCs w:val="18"/>
          <w:color w:val="auto"/>
        </w:rPr>
        <w:t>OLPRUVA is an adjunctive therapy for the chronic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adults and children weighing 20kg or greater with UCD from deficiencies of CPS, OTC, or AS.</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OLPRUVA is differentiated from currently available forms of phenylbutyrate. </w:t>
      </w:r>
      <w:r>
        <w:rPr>
          <w:rFonts w:ascii="Times New Roman" w:cs="Times New Roman" w:eastAsia="Times New Roman" w:hAnsi="Times New Roman"/>
          <w:sz w:val="18"/>
          <w:szCs w:val="18"/>
          <w:color w:val="auto"/>
        </w:rPr>
        <w:t>OLPRUVA is formulated to improve palatability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patients with a portable and discrete pre-measured dose.</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evaluating strategic alternatives. </w:t>
      </w:r>
      <w:r>
        <w:rPr>
          <w:rFonts w:ascii="Times New Roman" w:cs="Times New Roman" w:eastAsia="Times New Roman" w:hAnsi="Times New Roman"/>
          <w:sz w:val="18"/>
          <w:szCs w:val="18"/>
          <w:color w:val="auto"/>
        </w:rPr>
        <w:t>We have had limited success in commercializing OLPRUVA in the United States, and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evaluating the path forward and weighing strategic alternatives.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Celiprolol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Ehlers-Danlos Syndrome (EDS) is a rare inherited disorder caused by mutations in the genes responsible for the structure, production, or processing of collagen, an important component of the connective tissues in the human body, or proteins that interact with collagen. Vascular Ehlers-Danlos Syndrome (VEDS) is the most severe of the 13 types of EDS and causes abnormal fragility in large to medium sized arteries and hollow organs, such as the uterus and colon. This fragility can result in aneurysms, abnormal connections between blood vessels known as arteriovenous fistulas, arterial dissections, and spontaneous vascular and organ ruptures, all of which can be potentially life-threatening. The incidence of VEDS is estimated to be one in 50,000 to 200,000 people. There are approximately 7,500 patients in the United States.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advancing celiprolol as an investigational product candidate for the treatment of VEDS in patients with a confirmed type III collagen (COL3A1) mutation. Celiprolol is a selective adrenoceptor modulator (“SAM”) that would qualify as a new chemical entity (“NCE”) if approved in the United States. Celiprolol is currently approved in certain EU states for the treatment of hypertension and angina.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there are no approved therapies anywhere in the world for VEDS. However, celiprolol, prescribed off label, has become the standard of care therapy for VEDS in some European countries. Medical intervention for VEDS focuses on surgery, symptomatic treatment, genetic counseling, and prophylactic measures, such as avoiding intense physical activity, scuba diving, and violent sports. Therefore, patients must adopt a “watch and wait” approach following any confirmed diagnosis. Unfortunately, many of these arterial events have high mortality associated with them; thus, a pharmacologic intervention that reduces the rate of events would be clinically meaningful.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complete response letter (“CRL”) from the FDA stating that it will be necessary to conduct an adequate and well-controlled trial to determine whether celiprolol reduces the risk of clinical events in patients with VEDS. Subsequently, Acer appealed the FDA decision. While the FDA denied the appeal, it described possible paths forward toward approval. In a May 2021 Type B meeting with the FDA, Acer discussed the conduct of a U.S.-based prospective, randomized, double-blind, placebo-controlled, decentralized clinical trial in patients with COL3A1 positive VEDS and sought the FDA’s opinion on various proposed design features of the study.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FDA's feedback during the Type B meeting, Acer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in the United States for the treatment of patients with COL3A1-positive VEDS.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2022, Acer initiated enrollment in a Phase 3 long-term event-driven clinical trial designed based on the discussions from the May 2021 Type B meeting with the FDA, also known as the DiSCOVER trial. The DiSCOVER trial intends to enroll 150 VEDS patients, with 100 patients receiving celiprolol and 50 patients receiving placebo. Recruitment in the Phase-3 trial was restarted mid-2024, and the trial has 72 enrolled participants as of September 30, 2026. We believe that celiprolol could address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unmet needs, as there are currently no approved treatments for VEDS in the U.S. We have implemented a broad recruitment drive focusing on collaborating with medical clinics where most patients are being managed. In parallel, we actively engaged the FDA in a Type C meeting in the first quarter of 2026 to discuss regulatory options to potentially accelerate the development program and plan to continue the dialogue with regulators going forward with a follow-up meeting in the fourth quarter of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Celiprolol summary:</w:t>
      </w:r>
    </w:p>
    <w:p>
      <w:pPr>
        <w:spacing w:after="0" w:line="221" w:lineRule="exact"/>
        <w:rPr>
          <w:sz w:val="20"/>
          <w:szCs w:val="20"/>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Currently, no approved treatments for VEDS in the United States. </w:t>
      </w:r>
      <w:r>
        <w:rPr>
          <w:rFonts w:ascii="Times New Roman" w:cs="Times New Roman" w:eastAsia="Times New Roman" w:hAnsi="Times New Roman"/>
          <w:sz w:val="18"/>
          <w:szCs w:val="18"/>
          <w:color w:val="auto"/>
        </w:rPr>
        <w:t>There are currently no approved treatments for VEDS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we believe that celiprolol, if approved, could be a significant innovation in the treatment of VEDS where current treatment options are focused primarily on surgical intervention.</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pharmacological profile. </w:t>
      </w:r>
      <w:r>
        <w:rPr>
          <w:rFonts w:ascii="Times New Roman" w:cs="Times New Roman" w:eastAsia="Times New Roman" w:hAnsi="Times New Roman"/>
          <w:sz w:val="18"/>
          <w:szCs w:val="18"/>
          <w:color w:val="auto"/>
        </w:rPr>
        <w:t>Mechanism of action in VEDS patients is thought to be through vascular dilatation and smooth muscle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relaxation, the effect of which is to reduce the mechanical stress on collagen fibers in the arterial wall, potentially resulting in less incidence of vascular and hollow organ ruptures.</w:t>
      </w:r>
    </w:p>
    <w:p>
      <w:pPr>
        <w:spacing w:after="0" w:line="170" w:lineRule="exact"/>
        <w:rPr>
          <w:rFonts w:ascii="Times New Roman" w:cs="Times New Roman" w:eastAsia="Times New Roman" w:hAnsi="Times New Roman"/>
          <w:sz w:val="18"/>
          <w:szCs w:val="18"/>
          <w:color w:val="auto"/>
        </w:rPr>
      </w:pPr>
    </w:p>
    <w:p>
      <w:pPr>
        <w:jc w:val="both"/>
        <w:ind w:left="780" w:hanging="513"/>
        <w:spacing w:after="0" w:line="268"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Evidence of efficacy in Europe and extensive clinical experience from multiple trials. </w:t>
      </w:r>
      <w:r>
        <w:rPr>
          <w:rFonts w:ascii="Times New Roman" w:cs="Times New Roman" w:eastAsia="Times New Roman" w:hAnsi="Times New Roman"/>
          <w:sz w:val="18"/>
          <w:szCs w:val="18"/>
          <w:color w:val="auto"/>
        </w:rPr>
        <w:t>Celiprolol has become the primary treatment for VEDS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in several European countries. BBEST Clinical Trial data showed 76% reduction in risk of arterial events observed in COL3A1+ subpopulation, with additional data from a long-term observational study in France.</w:t>
      </w:r>
    </w:p>
    <w:p>
      <w:pPr>
        <w:spacing w:after="0" w:line="170"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designations. </w:t>
      </w:r>
      <w:r>
        <w:rPr>
          <w:rFonts w:ascii="Times New Roman" w:cs="Times New Roman" w:eastAsia="Times New Roman" w:hAnsi="Times New Roman"/>
          <w:sz w:val="18"/>
          <w:szCs w:val="18"/>
          <w:color w:val="auto"/>
        </w:rPr>
        <w:t>Celiprolol for VEDS has been granted Orphan Drug designation and Breakthrough Therapy designation and,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would be deemed an NCE in the United States if approved before any other celiprolol product.</w:t>
      </w:r>
    </w:p>
    <w:p>
      <w:pPr>
        <w:spacing w:after="0" w:line="154" w:lineRule="exact"/>
        <w:rPr>
          <w:rFonts w:ascii="Times New Roman" w:cs="Times New Roman" w:eastAsia="Times New Roman" w:hAnsi="Times New Roman"/>
          <w:sz w:val="18"/>
          <w:szCs w:val="18"/>
          <w:color w:val="auto"/>
        </w:rPr>
      </w:pPr>
    </w:p>
    <w:p>
      <w:pPr>
        <w:ind w:left="780" w:hanging="513"/>
        <w:spacing w:after="0" w:line="286" w:lineRule="auto"/>
        <w:tabs>
          <w:tab w:leader="none" w:pos="7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Solid patent protection through 2038. </w:t>
      </w:r>
      <w:r>
        <w:rPr>
          <w:rFonts w:ascii="Times New Roman" w:cs="Times New Roman" w:eastAsia="Times New Roman" w:hAnsi="Times New Roman"/>
          <w:sz w:val="18"/>
          <w:szCs w:val="18"/>
          <w:color w:val="auto"/>
        </w:rPr>
        <w:t>Celiprolol is generally protected by U.S. patents that will expire, after utilizing all appropriate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but excluding possible term extensions, in 2038.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XOMA License Agreement (MIPLYFFA)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2022, we purchased all the assets and operations of Orphazyme A/S (“Orphazyme”) related to arimoclomol. Prior to this acquisition, Orphazyme had entered into an asset purchase agreement with LadRx Corporation, which was assigned to XOMA (US) LLC, a wholly-owned subsidiary of XOMA Corporation (“XOMA”), in June 2023 (“XOMA License Agreement”). Under the XOMA License Agreement, XOMA is entitled to a mid-single digit percentage royalty with respect to net sales of MIPLYFFA as well as milestone payments based on future potential sales and regulatory milestones, including a $4.0 million regulatory milestone payment upon approval in the E.U. and a $5.0 million sales milestone payment upon annual sales of $100.0 million. XOMA was acquired by Ligand Pharmaceuticals in July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Relief Termination Agreement and Relief License Agreement (OLPRUVA)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Acer, Acer and Relief entered into a termination agreement on August 28, 2023 (the “Relief Termination Agreement”). Pursuant to the Relief Termination Agreement, we are obligated to pay royalties of 10% of U.S. net sales of OLPRUVA up to a maximum of $45.0 million, plus specified regulatory milestones, for total payments to Relief of up to $56.5 million. On April 10, 2025, Relief sold the rights to this royalty to Soleus Capital Management L.P., and in December 2025, Relief merged with NeuroX Group SA, and the combined company now operates as MindMaze Therapeutics Holding SA.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Acer and Relief also entered into an exclusive license agreement on August 28, 2023 (the “Relief License Agreement”). Pursuant to the Relief License Agreement, Relief holds exclusive development and commercialization rights for OLPRUVA in the EU, Liechtenstein, San Marino, Vatican City, Norway, Iceland, Principality of Monaco, Andorra, Gibraltar, Switzerland, United Kingdom, Albania, Bosnia, Kosovo, Montenegro, Serbia and North Macedonia (“Geographical Europe”). We have the right to receive a royalty of up to 10% of the net sales of OLPRUVA in Geographical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50"/>
        </w:trPr>
        <w:tc>
          <w:tcPr>
            <w:tcW w:w="6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3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$315 and $315 in intangible asset amortization for</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three months ended September 30, 2026, and 2025, respectively, shown separately</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2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57"/>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83"/>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50"/>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57"/>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3"/>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7"/>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7"/>
        </w:trPr>
        <w:tc>
          <w:tcPr>
            <w:tcW w:w="6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77"/>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w:t>
            </w:r>
          </w:p>
        </w:tc>
      </w:tr>
      <w:tr>
        <w:trPr>
          <w:trHeight w:val="25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20,695</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83"/>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77"/>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19,752</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September 30, 2026, was $19.2 million, compared to a net loss of $0.5 million for the three months ended September 30, 2025, an increase to net income of $19.8 million. The increase was primarily attributable to an increase in revenue of $11.7 million, an increase in fair value adjustment related to warrant and CVR liability of $10.6 million, an increase in interest and other income, net, of $0.7 million, and a decrease in interest expense of $2.1 million, partially offset by a decrease in tax benefit of $0.9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September 30, 2026, was $37.8 million, compared to revenue of $26.1 million for the three months ended September 30, 2025, an increase of $11.7 million. The increase was primarily attributable to an increase in product sales of MIPLYFFA of $11.6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three months ended September 30, 2026, was $1.8 million, an increase of $0.6 million compared to cost of product revenue of $1.2 million for the three months ended September 30, 2025. The increase was primarily due to an increase in royalty costs related to increased product sales of MIPLYFFA.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 amortization for the three months ended September 30, 2026, of $0.3 million was consistent when compared to intangible asset amortization of $0.3 million for the three months ended September 30, 2025.</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$1.5 million, from $3.4 million for the three months ended September 30, 2025, to $4.9 million for the three months ended September 30, 2026. This increase was due primarily to our ongoing arimoclomol efforts and our continued investment in the celiprolol development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by approximately $2.2 million, from $16.9 million for the three months ended September 30, 2025, to $19.1 million for the three months ended September 30, 2026. This increase was primarily due to commercial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increased from $5.1 million of expense for the three months ended September 30, 2025, to $8.1 million of income for the three months ended September 30, 2026. The increase in income was primarily attributable to an increase in fair value adjustment related to warrant and CVR liability of $10.6 million, a decrease in interest expense of $2.1 million, and an increase in interest and other income, net, of $0.7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benefit increased by $0.9 million, from $0.4 million benefit for the three months ended September 30, 2025, to $0.5 million expense for the three months ended September 30, 2026, due to the tax provision associated with increased income in the current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Period-to-</w:t>
            </w:r>
          </w:p>
        </w:tc>
      </w:tr>
      <w:tr>
        <w:trPr>
          <w:trHeight w:val="27"/>
        </w:trPr>
        <w:tc>
          <w:tcPr>
            <w:tcW w:w="6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Period Change</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revenue (excluding $947 and $3,546 in intangible asset amortization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nine months ended September 30, 2026, and 2025, respectively, shown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5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future royalties, intellectual property, and other assets, net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r>
      <w:tr>
        <w:trPr>
          <w:trHeight w:val="25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5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7"/>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80,503</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152,761</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5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PRV</w:t>
            </w:r>
          </w:p>
        </w:tc>
        <w:tc>
          <w:tcPr>
            <w:tcW w:w="22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(148,325)</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5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5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warrant and CVR liability</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adjustment related to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7"/>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7"/>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(149,456)</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77,317</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74,012</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7"/>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r>
      <w:tr>
        <w:trPr>
          <w:trHeight w:val="277"/>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65,850</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71,064</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2026, was $65.9 million, and was comprised of revenue of $113.6 million, a gain on sale of future royalties, intellectual property, and other assets, net, of $43.3 million under the Commave Settlement Agreement, interest and other income, net of $9.2 million, partially offset by cost of product revenue of $5.2 million, intangible asset amortization of $0.9 million, research and development expense of $13.8 million, selling, general and administrative costs of $56.5 million, loss on derivative liability of $7.2 million, loss on extinguishment of debt of $2.8 million, interest expense of $1.7 million, fair value adjustments of $0.7 million and income tax expense of $11.5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for the nine months ended September 30, 2025 was $71.1 million, and was comprised of revenue of $72.3 million, a gain on sale of PRV of $148.3 million, interest and other income, net of $5.2 million, partially offset by cost of product revenue of $15.0 million (including inventory obsolescence charges of $11.7 million), intangible asset amortization of $3.5 million, impairment of intangible assets of $58.7 million, research and development of $10.1 million, selling, general and administrative costs of $57.3 million, interest expense of $6.0 million, fair value adjustments of $1.3 million and income tax expense of $2.9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nine months ended September 30, 2026, was $113.6 million, compared to revenue of $72.3 million for the nine months ended September 30, 2025, an increase of $41.3 million. The increase was primarily attributable to an increase in revenues under the global EAP of $15.4 million and an increase in product sales of MIPLYFFA of $27.9 million, partially offset by a decrease in royalty revenue of $1.9 million.</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 revenue for the nine months ended September 30, 2026, was $5.2 million, a decrease of $9.7 million compared to cost of product revenue of $15.0 million for the nine months ended September 30, 2025. The decrease was primarily due to a decrease in the write-down of unsaleable inventory, partially offset by an increase in royalty costs related to increased product sales of MIPLYFFA.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 amortization for the nine months ended September 30, 2026, was $0.9 million, a decrease of $2.6 million compared to intangible asset amortization of $3.5 million for the nine months ended September 30, 2025. The decrease was a result of definite-lived intangible assets acquired in the acquisition of Acer no longer being amortized as a result of the impairment recorded as of and for the period ended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$3.7 million, from $10.1 million for the nine months ended September 30, 2025, to $13.8 million for the nine months ended September 30, 2026. This increase was primarily driven by an increase in spending for ongoing arimoclomol research and development efforts and the celiprolol Phase 3 study.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approximately $0.8 million, from $57.3 million for the nine months ended September 30, 2025, to $56.5 million for the nine months ended September 30, 2026. This decrease was primarily related to a decrease in third party spending and professional fees, partially offset by an increase in personnel 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for the nine months ended September 30, 2026 was $3.2 million and consisted of a loss on extinguishment of debt of $2.8 million, loss on derivative liability of $7.2 million, interest expense of $1.7 million, and fair value adjustments of $0.7 million, partially offset by interest and other income, net of $9.2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nine months ended September 30, 2025 was $146.3 million and was attributable to a gain on sale of PRV of $148.3 million, interest and other income, net of $5.2 million, partially offset by interest expense of $6.0 million, and fair value adjustments of $1.3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increased by $8.5 million, from $2.9 million for the nine months ended September 30, 2025, to $11.5 million for the nine months ended September 30, 2026, due to the tax provision associated with increased income in the current period excluding the gain on sale of PRV for which income tax expense was recognized in the fourth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September 30, 2026, we have funded our research and development and operating activities primarily through the issuance of debt and equity and from product sales of MIPLYFFA and OLPRUVA, reimbursements received under the global EAP, royalties or net sales milestone payments generated under the AZSTARYS License Agreement, payments received under the Commave Settlement Agreement, our PRV sale consummated on April 1, 2025, and consulting agreements. As of September 30, 2026, we had cash, cash equivalents and investments of $270.9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recently had several quarters of positive net cash flows from operations, we cannot guarantee that we can continue to generate positive net cash flows from operations. We expect that our sources of revenue will be from product sales of approved products, product reimbursements received under the global EAP, and any other future arrangements related to one or more of our products or product candidates.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needed,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relinquish valuable rights. If we are unable to raise capital when needed or on attractive terms, we could be forced to delay, reduce or altogether cease our research and development programs or future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S-3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2024, we filed a registration statement on Form S-3 (File No. 333-279941) (the “June 2024 Registration Statement”) under which we may sell securities in one or more offerings up to a total aggregate offering price of $350.0 million, $75.0 million of which was allocated to the sale of the shares of common stock issuable under the 2024 ATM Agreement (as described further below). The June 2024 Registration Statement was declared effective on June 13,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ATM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we entered into an equity distribution agreement (the “2024 ATM Agreement”) with Citizens JMP Securities LLC (“Citizens JMP”) under which we may offer and sell, from time to time at our sole discretion, shares of our common stock having an aggregate offering price of up to $75.0 million through Citizens JMP as our sales agent. The issuance and sale, if any, of common stock by us under the 2024 ATM Agreement will be made pursuant to the June 2024 Registration Statement, the accompanying prospectus, and the related prospectus supplement dated July 12, 2024. Citizens JMP may sell the common stock by any method permitted by law deemed to be an “at the market offering” as defined in Rule 415 of the Securities Act. Citizens JMP will use commercially reasonable efforts to sell the common stock from time to time, based upon instructions from us (including any price, time or size limits or other customary parameters or conditions we may impose). We will pay Citizens JMP a commission equal to 3.0% in the aggregate of the gross sales proceeds of any common stock sold through Citizens JMP under the 2024 ATM Agreement. As of September 30, 2026, no shares have been issued or sold under the 2024 ATM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“Term Loans Closing Date”), we entered into a credit agreement (the “Credit Agreement”) with HCR Stafford Fund II, L.P., HCR Potomac Fund II, L.P., and Perceptive Credit Holdings IV, LP (collectively, the “Lenders”), and Alter Domus (US) LLC, as administrative agent (the “Administrative Agent”).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Credit Agreement, the Lenders provided a senior secured loan facility to us in the aggregate principal amount of $100.0 million, divided into three tranches as follows: (i) $60.0 million, which was funded in full on the Term Loans Closing Date; (ii) $20.0 million, which was available to us in up to two drawings, each in an amount not to exceed $10.0 million, at our option until October 5, 2025; and; (iii) $20.0 million, which was available to us upon approval by the FDA of the NDA for MIPLYFFA for the treatment of NPC, at our option until December 31, 2024 (collectively, the “Term Loans”). We did not draw down the amounts described in (ii) and (iii) above prior to their applicable expiration dates. The proceeds of the Term Loans were used to refinance certain existing indebtedness of us and our subsidiaries. We used the remaining proceeds to pay fees and expenses related to the debt financing and commercialization of MIPLYFFA and OLPRUVA, and to further the development of other product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12, 2026, we repaid in full all outstanding obligations under the Credit Agreement. As of the date of repayment, the aggregate principal amount outstanding under the Credit Agreement was approximately $63.1 million (which includes accrued paid-in-kind interest of approximately $3.1 million), plus accrued and unpaid cash interest of $1.4 million. Under the terms of the Credit Agreement, we were also required to pay a final payment premium of $1.8 million, a make-whole amount and prepayment premium of $7.2 million and legal fees of approximately $0.1 million. The Term Loans were secured by a first priority perfected lien on, and security interest in, substantially all current and future assets of ours and certain subsidiaries that were guarantors thereunder. Upon repayment, the Credit Agreement and all related loan documents were terminated, and all liens and security interests granted thereunder were released. We recognized a loss on extinguishment of debt of $2.8 million in the unaudited condensed consolidated statements of operations during the nine months ended September 30,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2026, and 2025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7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17,900</w:t>
            </w: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4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62"/>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operating activities of $33.2 million consisted of net income of $65.9 million, in addition to changes in working capital of $4.3 million, partially offset by $36.9 million in adjustments for non-cash items. Net income was primarily attributable to income generated under the Commave Settlement Agreement, as well as revenue received from approved product sales, and reimbursements received under the global EAP. This income was partially offset by ongoing operating expenses to support our commercial organization and the resulting gain from the Commave Settlement Agreement, as well as the debt payoff. In addition to the aforementioned transactions, the adjustments for non-cash items primarily consisted of income tax expense of $5.6 million, stock-based compensation expense of $8.7 million, fair value adjustment related to warrant and CVR liability of $0.3 million and a gain on foreign currency exchange rates of $2.7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2025, net cash used in operating activities of $7.1 million consisted of net income of $71.1 million, offset by $61.7 million in adjustments for non-cash items and changes in working capital of $16.5 million. Net income was primarily attributable to the sale of the PRV, as well as revenue received from product sales of MIPLYFFA and OLPRUVA, royalties generated under the AZSTARYS License Agreement, and reimbursements received under the global EAP, partially offset by impairment and obsolescence charges and spend on R&amp;D programs and operating costs. The adjustments for non-cash items primarily consisted of the gain on sale of PRV of $148.3 million, partially offset by impairment of intangible assets of $58.7 million, inventory obsolescence of $11.7 million, stock-based compensation expense of $8.4 million, $3.7 million of depreciation and amortization expense, and income tax expense of $2.9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provided by investing activities was $76.2 million, which was primarily attributable to sales and maturities of investments of $188.2 million and sale of future royalties, intellectual property, and other assets, net, of $48.9 million, partially offset by $160.4 million in investment purchases.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investing activities was $17.9 million, which was primarily attributable to proceeds from the sale of the PRV of $150.0 million and maturities of investments of $91.0 million, partially offset by $222.8 million in purchases of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financing activities was $49.7 million, which was primarily attributable to the repayment of debt of $60.1 million and the payments for employee taxes related to stock awards of $1.5 million, partially offset by proceeds from the issuance of stock for warrants exercised of $9.2 million and proceeds from issuance of common stock for options exercised of $2.3 million.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financing activities was $9.5 million, which was primarily attributable to proceeds from the issuance of stock for warrants exercised of $6.0 million and options exercised or RSUs vested of $3.5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our available cash, cash equivalents and investments, together with our ability to generate operating cash flow, are sufficient to fund our existing and planned capital requirements for at least the next twelve months and the foreseeable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the majority of our cash, cash equivalents and investments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near-term sources of additional funding include:</w:t>
      </w:r>
    </w:p>
    <w:p>
      <w:pPr>
        <w:spacing w:after="0" w:line="225" w:lineRule="exact"/>
        <w:rPr>
          <w:sz w:val="20"/>
          <w:szCs w:val="20"/>
          <w:color w:val="auto"/>
        </w:rPr>
      </w:pPr>
    </w:p>
    <w:p>
      <w:pPr>
        <w:ind w:left="780" w:hanging="51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received for arimoclomol under the global EAP; and</w:t>
      </w:r>
    </w:p>
    <w:p>
      <w:pPr>
        <w:spacing w:after="0" w:line="225" w:lineRule="exact"/>
        <w:rPr>
          <w:rFonts w:ascii="Times New Roman" w:cs="Times New Roman" w:eastAsia="Times New Roman" w:hAnsi="Times New Roman"/>
          <w:sz w:val="18"/>
          <w:szCs w:val="18"/>
          <w:color w:val="auto"/>
        </w:rPr>
      </w:pPr>
    </w:p>
    <w:p>
      <w:pPr>
        <w:ind w:left="780" w:right="20" w:hanging="513"/>
        <w:spacing w:after="0" w:line="282" w:lineRule="auto"/>
        <w:tabs>
          <w:tab w:leader="none" w:pos="7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sales of common stock by us under the 2024 ATM Agreement or any other offering of securities made pursuant to the June 2024 Registration Statement.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be able to generate sufficient proceeds from any of these potential sources to fund our operating expenses. We anticipate that our expenses will fluctuate substantially as we:</w:t>
      </w:r>
    </w:p>
    <w:p>
      <w:pPr>
        <w:spacing w:after="0" w:line="148" w:lineRule="exact"/>
        <w:rPr>
          <w:sz w:val="20"/>
          <w:szCs w:val="20"/>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building and maintaining our ongoing commercial capabilities to support the commercialization of our approved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clinical trials for celiprolol or initiate preclinical studies, clinical trials and product development activities for future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may successfully complete clinical trials;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license or acquire, and develop additional product candidates;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 and</w:t>
      </w:r>
    </w:p>
    <w:p>
      <w:pPr>
        <w:spacing w:after="0" w:line="225" w:lineRule="exact"/>
        <w:rPr>
          <w:rFonts w:ascii="Times New Roman" w:cs="Times New Roman" w:eastAsia="Times New Roman" w:hAnsi="Times New Roman"/>
          <w:sz w:val="18"/>
          <w:szCs w:val="18"/>
          <w:color w:val="auto"/>
        </w:rPr>
      </w:pPr>
    </w:p>
    <w:p>
      <w:pPr>
        <w:ind w:left="780" w:hanging="51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systems and personnel, if needed, to support any future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based our estimates of our cash needs and cash runway on assumptions that may prove to be wrong, and we may use our available capital resources sooner than we currently expect. In addition, we cannot guarantee that we will be able to generate sufficient proceeds from sales of approved products, reimbursements received under the global EAP,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that may be necessary.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and/or commercialization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have not changed materially from those described in Part II, Item 7 “Management’s Discussion and Analysis of Financial Condition and Results of Operations” of our Annual Report on Form 10-K for the fiscal year ended December 31, 2025, filed with the SEC on March 9, 2026.</w:t>
      </w:r>
    </w:p>
    <w:p>
      <w:pPr>
        <w:spacing w:after="0" w:line="17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Exchange Act) as of September 30, 2026. Based on the evaluation of our disclosure controls and procedures as of September 30, 2026, our chief executive officer and our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our fiscal quarter ended September 30, 2026, that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addition to the other information set forth in this Quarterly Report on Form 10-Q, you should carefully consider all the risk factors and uncertainties described in Part I, Item 1A. “Risk Factors” of our Annual Report on Form 10-K for the fiscal year ended December 31, 2025, filed with the SEC on </w:t>
      </w:r>
      <w:hyperlink r:id="rId60">
        <w:r>
          <w:rPr>
            <w:rFonts w:ascii="Times New Roman" w:cs="Times New Roman" w:eastAsia="Times New Roman" w:hAnsi="Times New Roman"/>
            <w:sz w:val="18"/>
            <w:szCs w:val="18"/>
            <w:color w:val="auto"/>
          </w:rPr>
          <w:t xml:space="preserve">March 9, 2026, </w:t>
        </w:r>
        <w:r>
          <w:rPr>
            <w:rFonts w:ascii="Times New Roman" w:cs="Times New Roman" w:eastAsia="Times New Roman" w:hAnsi="Times New Roman"/>
            <w:sz w:val="18"/>
            <w:szCs w:val="18"/>
            <w:u w:val="single" w:color="auto"/>
            <w:color w:val="0000FF"/>
          </w:rPr>
          <w:t>as supplemented in Part II, Item 1A. “Risk Factors” of our Quarterly Report on Form 10-Q for the quarter ended March 31, 2026, filed with</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FF"/>
          </w:rPr>
          <w:t>the SEC on May 6, 2026</w:t>
        </w:r>
        <w:r>
          <w:rPr>
            <w:rFonts w:ascii="Times New Roman" w:cs="Times New Roman" w:eastAsia="Times New Roman" w:hAnsi="Times New Roman"/>
            <w:sz w:val="18"/>
            <w:szCs w:val="18"/>
            <w:color w:val="000000"/>
          </w:rPr>
          <w:t>, before investing in our common stock. There have been no material changes to the risk factors described in those reports.</w:t>
        </w:r>
      </w:hyperlink>
    </w:p>
    <w:p>
      <w:pPr>
        <w:spacing w:after="0" w:line="17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420" w:right="5840" w:hanging="250"/>
        <w:spacing w:after="0" w:line="500" w:lineRule="auto"/>
        <w:tabs>
          <w:tab w:leader="none" w:pos="41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(b)Material changes to the procedures by which security holders may recommend nominees to the board of directors.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20" w:hanging="250"/>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rFonts w:ascii="Times New Roman" w:cs="Times New Roman" w:eastAsia="Times New Roman" w:hAnsi="Times New Roman"/>
          <w:sz w:val="18"/>
          <w:szCs w:val="18"/>
          <w:b w:val="1"/>
          <w:bCs w:val="1"/>
          <w:color w:val="auto"/>
        </w:rPr>
      </w:pPr>
    </w:p>
    <w:p>
      <w:pPr>
        <w:ind w:lef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months ended September 30, 2026, no director or officer of Zevra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as part of this Form 10-Q (the SEC file number for all items incorporated by reference herein from reports on Forms 10-K, 10-Q, and 8-K is 001-36913):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Restated Certificate of Incorporation of Zevra Therapeutics, Inc. (incorporated herein by reference to the Registrant’s Annual Report on</w:t>
              </w:r>
            </w:hyperlink>
          </w:p>
        </w:tc>
        <w:tc>
          <w:tcPr>
            <w:tcW w:w="20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3"/>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10-K as filed with the SEC on March 9, 2026).</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6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Amended and Restated Bylaws, as currently in effect, of Zevra Therapeutics, Inc. (incorporated herein by reference to the Registrant's</w:t>
              </w:r>
            </w:hyperlink>
          </w:p>
        </w:tc>
        <w:tc>
          <w:tcPr>
            <w:tcW w:w="340" w:type="dxa"/>
            <w:vAlign w:val="bottom"/>
            <w:gridSpan w:val="6"/>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3"/>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Current Report on Form 8-K as filed with the SEC on February 28, 2024).</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Specimen stock certificate evidencing shares of Common Stock (incorporated herein by reference to the Registrant's Annual Report on</w:t>
              </w:r>
            </w:hyperlink>
          </w:p>
        </w:tc>
        <w:tc>
          <w:tcPr>
            <w:tcW w:w="280" w:type="dxa"/>
            <w:vAlign w:val="bottom"/>
            <w:gridSpan w:val="5"/>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Form 10-K as filed with the SEC on March 12, 2021).</w:t>
              </w:r>
            </w:hyperlink>
          </w:p>
        </w:tc>
        <w:tc>
          <w:tcPr>
            <w:tcW w:w="6100" w:type="dxa"/>
            <w:vAlign w:val="bottom"/>
            <w:gridSpan w:val="10"/>
          </w:tcPr>
          <w:p>
            <w:pPr>
              <w:spacing w:after="0"/>
              <w:rPr>
                <w:sz w:val="17"/>
                <w:szCs w:val="17"/>
                <w:color w:val="auto"/>
              </w:rPr>
            </w:pPr>
          </w:p>
        </w:tc>
      </w:tr>
      <w:tr>
        <w:trPr>
          <w:trHeight w:val="2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Executive Officer pursuant to Rule 13a-14(a) or Rule 15d-14(a) of the Securities Exchange Act of 1934, as</w:t>
            </w:r>
          </w:p>
        </w:tc>
        <w:tc>
          <w:tcPr>
            <w:tcW w:w="180" w:type="dxa"/>
            <w:vAlign w:val="bottom"/>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12"/>
          </w:tcPr>
          <w:p>
            <w:pPr>
              <w:spacing w:after="0"/>
              <w:rPr>
                <w:sz w:val="17"/>
                <w:szCs w:val="17"/>
                <w:color w:val="auto"/>
              </w:rPr>
            </w:pPr>
          </w:p>
        </w:tc>
      </w:tr>
      <w:tr>
        <w:trPr>
          <w:trHeight w:val="2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13a-14(a) or Rule 15d-14(a) of the Securities Exchange Act of 1934, as</w:t>
            </w:r>
          </w:p>
        </w:tc>
        <w:tc>
          <w:tcPr>
            <w:tcW w:w="220" w:type="dxa"/>
            <w:vAlign w:val="bottom"/>
            <w:gridSpan w:val="3"/>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300" w:type="dxa"/>
            <w:vAlign w:val="bottom"/>
            <w:gridSpan w:val="12"/>
          </w:tcPr>
          <w:p>
            <w:pPr>
              <w:spacing w:after="0"/>
              <w:rPr>
                <w:sz w:val="17"/>
                <w:szCs w:val="17"/>
                <w:color w:val="auto"/>
              </w:rPr>
            </w:pPr>
          </w:p>
        </w:tc>
      </w:tr>
      <w:tr>
        <w:trPr>
          <w:trHeight w:val="2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13a-14(b) of the Securities Exchange Act of 1934, as amended, and 18.</w:t>
            </w: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 of the Sarbanes-Oxley Act of 2002.</w:t>
            </w:r>
          </w:p>
        </w:tc>
        <w:tc>
          <w:tcPr>
            <w:tcW w:w="3100" w:type="dxa"/>
            <w:vAlign w:val="bottom"/>
            <w:tcBorders>
              <w:top w:val="single" w:sz="8" w:color="0000FF"/>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 13a-14(b) of the Securities Exchange Act of 1934, as amended, and 18.</w:t>
            </w:r>
          </w:p>
        </w:tc>
        <w:tc>
          <w:tcPr>
            <w:tcW w:w="240" w:type="dxa"/>
            <w:vAlign w:val="bottom"/>
            <w:gridSpan w:val="4"/>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r>
      <w:tr>
        <w:trPr>
          <w:trHeight w:val="30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320" w:type="dxa"/>
            <w:vAlign w:val="bottom"/>
            <w:gridSpan w:val="8"/>
          </w:tcPr>
          <w:p>
            <w:pPr>
              <w:spacing w:after="0"/>
              <w:rPr>
                <w:sz w:val="24"/>
                <w:szCs w:val="24"/>
                <w:color w:val="auto"/>
              </w:rPr>
            </w:pPr>
          </w:p>
        </w:tc>
      </w:tr>
      <w:tr>
        <w:trPr>
          <w:trHeight w:val="284"/>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combined in Exhibit 101)</w:t>
            </w:r>
          </w:p>
        </w:tc>
      </w:tr>
    </w:tbl>
    <w:p>
      <w:pPr>
        <w:spacing w:after="0" w:line="387" w:lineRule="exact"/>
        <w:rPr>
          <w:sz w:val="20"/>
          <w:szCs w:val="20"/>
          <w:color w:val="auto"/>
        </w:rPr>
      </w:pPr>
    </w:p>
    <w:p>
      <w:pPr>
        <w:ind w:left="1240" w:hanging="710"/>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240" w:hanging="75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Zevra Therapeutics, Inc.</w:t>
      </w:r>
    </w:p>
    <w:p>
      <w:pPr>
        <w:spacing w:after="0" w:line="351"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Neil F. McFarlane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Neil F. McFarlane</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8" w:lineRule="exact"/>
        <w:rPr>
          <w:sz w:val="20"/>
          <w:szCs w:val="20"/>
          <w:color w:val="auto"/>
        </w:rPr>
      </w:pPr>
    </w:p>
    <w:p>
      <w:pPr>
        <w:ind w:left="20"/>
        <w:spacing w:after="0"/>
        <w:tabs>
          <w:tab w:leader="none" w:pos="580" w:val="left"/>
          <w:tab w:leader="none" w:pos="5600" w:val="left"/>
          <w:tab w:leader="none" w:pos="6180" w:val="left"/>
        </w:tabs>
        <w:rPr>
          <w:sz w:val="20"/>
          <w:szCs w:val="20"/>
          <w:color w:val="auto"/>
        </w:rPr>
      </w:pPr>
      <w:r>
        <w:rPr>
          <w:rFonts w:ascii="Times New Roman" w:cs="Times New Roman" w:eastAsia="Times New Roman" w:hAnsi="Times New Roman"/>
          <w:sz w:val="18"/>
          <w:szCs w:val="18"/>
          <w:color w:val="auto"/>
        </w:rPr>
        <w:t>Date:</w:t>
        <w:tab/>
        <w:t>November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Renz</w:t>
      </w:r>
    </w:p>
    <w:p>
      <w:pPr>
        <w:spacing w:after="0" w:line="7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F. McFarlane, certify that:</w:t>
      </w:r>
    </w:p>
    <w:p>
      <w:pPr>
        <w:spacing w:after="0" w:line="225"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50"/>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65"/>
        </w:trPr>
        <w:tc>
          <w:tcPr>
            <w:tcW w:w="59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225"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Zevra Therapeutics, Inc.;</w:t>
      </w:r>
    </w:p>
    <w:p>
      <w:pPr>
        <w:spacing w:after="0" w:line="27" w:lineRule="exact"/>
        <w:rPr>
          <w:rFonts w:ascii="Times New Roman" w:cs="Times New Roman" w:eastAsia="Times New Roman" w:hAnsi="Times New Roman"/>
          <w:sz w:val="18"/>
          <w:szCs w:val="18"/>
          <w:color w:val="auto"/>
        </w:rPr>
      </w:pPr>
    </w:p>
    <w:p>
      <w:pPr>
        <w:jc w:val="both"/>
        <w:ind w:left="980" w:hanging="486"/>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980" w:hanging="486"/>
        <w:spacing w:after="0" w:line="265"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 w:lineRule="exact"/>
        <w:rPr>
          <w:rFonts w:ascii="Times New Roman" w:cs="Times New Roman" w:eastAsia="Times New Roman" w:hAnsi="Times New Roman"/>
          <w:sz w:val="17"/>
          <w:szCs w:val="17"/>
          <w:color w:val="auto"/>
        </w:rPr>
      </w:pPr>
    </w:p>
    <w:p>
      <w:pPr>
        <w:jc w:val="both"/>
        <w:ind w:left="1460" w:hanging="480"/>
        <w:spacing w:after="0" w:line="250" w:lineRule="auto"/>
        <w:tabs>
          <w:tab w:leader="none" w:pos="14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60" w:hanging="480"/>
        <w:spacing w:after="0" w:line="250" w:lineRule="auto"/>
        <w:tabs>
          <w:tab w:leader="none" w:pos="14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60" w:hanging="480"/>
        <w:spacing w:after="0" w:line="250" w:lineRule="auto"/>
        <w:tabs>
          <w:tab w:leader="none" w:pos="14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80" w:hanging="486"/>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60" w:right="20" w:hanging="480"/>
        <w:spacing w:after="0" w:line="250" w:lineRule="auto"/>
        <w:tabs>
          <w:tab w:leader="none" w:pos="145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60" w:hanging="480"/>
        <w:spacing w:after="0" w:line="260" w:lineRule="auto"/>
        <w:tabs>
          <w:tab w:leader="none" w:pos="14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Justin Renz</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50"/>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Justin Renz</w:t>
            </w:r>
          </w:p>
        </w:tc>
      </w:tr>
      <w:tr>
        <w:trPr>
          <w:trHeight w:val="265"/>
        </w:trPr>
        <w:tc>
          <w:tcPr>
            <w:tcW w:w="59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2026,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Neil F. McFarlane</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50"/>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Neil F. McFarlane</w:t>
            </w:r>
          </w:p>
        </w:tc>
      </w:tr>
      <w:tr>
        <w:trPr>
          <w:trHeight w:val="265"/>
        </w:trPr>
        <w:tc>
          <w:tcPr>
            <w:tcW w:w="59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14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Zevra Therapeutics, Inc., (the “Company”) for the quarterly period ended September 30, 2026, as filed with the Securities and Exchange Commission on the date hereof (the “Report”), I, Justin Renz, Principal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80" w:hanging="486"/>
        <w:spacing w:after="0" w:line="26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November 3, 2026</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Justin Renz</w:t>
            </w:r>
          </w:p>
        </w:tc>
      </w:tr>
      <w:tr>
        <w:trPr>
          <w:trHeight w:val="27"/>
        </w:trPr>
        <w:tc>
          <w:tcPr>
            <w:tcW w:w="5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50"/>
        </w:trPr>
        <w:tc>
          <w:tcPr>
            <w:tcW w:w="59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Justin Renz</w:t>
            </w:r>
          </w:p>
        </w:tc>
      </w:tr>
      <w:tr>
        <w:trPr>
          <w:trHeight w:val="265"/>
        </w:trPr>
        <w:tc>
          <w:tcPr>
            <w:tcW w:w="5920" w:type="dxa"/>
            <w:vAlign w:val="bottom"/>
          </w:tcPr>
          <w:p>
            <w:pPr>
              <w:spacing w:after="0"/>
              <w:rPr>
                <w:sz w:val="23"/>
                <w:szCs w:val="23"/>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upperLetter"/>
      <w:start w:val="2"/>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upperLetter"/>
      <w:start w:val="6"/>
    </w:lvl>
  </w:abstractNum>
  <w:abstractNum w:abstractNumId="6">
    <w:nsid w:val="41A7C4C9"/>
    <w:multiLevelType w:val="hybridMultilevel"/>
    <w:lvl w:ilvl="0">
      <w:lvlJc w:val="left"/>
      <w:lvlText w:val="%1."/>
      <w:numFmt w:val="upperLetter"/>
      <w:start w:val="9"/>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upperLetter"/>
      <w:start w:val="12"/>
    </w:lvl>
  </w:abstractNum>
  <w:abstractNum w:abstractNumId="9">
    <w:nsid w:val="25E45D32"/>
    <w:multiLevelType w:val="hybridMultilevel"/>
    <w:lvl w:ilvl="0">
      <w:lvlJc w:val="left"/>
      <w:lvlText w:val="%1."/>
      <w:numFmt w:val="upperLetter"/>
      <w:start w:val="1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0" Type="http://schemas.openxmlformats.org/officeDocument/2006/relationships/hyperlink" Target="https://www.sec.gov/Archives/edgar/data/1434647/000143464726000031/zvra-20260331.htm" TargetMode="External"/><Relationship Id="rId62" Type="http://schemas.openxmlformats.org/officeDocument/2006/relationships/hyperlink" Target="https://www.sec.gov/Archives/edgar/data/1434647/000143464726000011/zvra-20251231xex31restated.htm" TargetMode="External"/><Relationship Id="rId63" Type="http://schemas.openxmlformats.org/officeDocument/2006/relationships/hyperlink" Target="https://www.sec.gov/Archives/edgar/data/1434647/000143774924005904/ex_632349.htm" TargetMode="External"/><Relationship Id="rId64" Type="http://schemas.openxmlformats.org/officeDocument/2006/relationships/hyperlink" Target="https://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2026-11-03T16:27:54Z</dcterms:created>
  <dcterms:modified xsi:type="dcterms:W3CDTF">2026-11-03T16:27:54Z</dcterms:modified>
</cp:coreProperties>
</file>