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541020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197485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 w:lineRule="exact"/>
        <w:rPr>
          <w:sz w:val="24"/>
          <w:szCs w:val="24"/>
          <w:color w:val="auto"/>
        </w:rPr>
      </w:pPr>
    </w:p>
    <w:p>
      <w:pPr>
        <w:ind w:left="3900" w:right="1580" w:hanging="3893"/>
        <w:spacing w:after="0" w:line="488" w:lineRule="auto"/>
        <w:tabs>
          <w:tab w:leader="none" w:pos="5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380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-5715</wp:posOffset>
            </wp:positionV>
            <wp:extent cx="625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189865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KemPharm,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380" w:type="dxa"/>
        <w:tblCellMar>
          <w:top w:w="0" w:type="dxa"/>
          <w:left w:w="0" w:type="dxa"/>
          <w:bottom w:w="0" w:type="dxa"/>
          <w:right w:w="0" w:type="dxa"/>
        </w:tblCellMar>
      </w:tblPr>
      <w:tr>
        <w:trPr>
          <w:trHeight w:val="215"/>
        </w:trPr>
        <w:tc>
          <w:tcPr>
            <w:tcW w:w="628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38"/>
        </w:trPr>
        <w:tc>
          <w:tcPr>
            <w:tcW w:w="628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2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07"/>
        </w:trPr>
        <w:tc>
          <w:tcPr>
            <w:tcW w:w="628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1180 Celebration Boulevard, Suite 103, Celebration, FL</w:t>
            </w:r>
          </w:p>
        </w:tc>
        <w:tc>
          <w:tcPr>
            <w:tcW w:w="32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34747</w:t>
            </w:r>
          </w:p>
        </w:tc>
      </w:tr>
      <w:tr>
        <w:trPr>
          <w:trHeight w:val="238"/>
        </w:trPr>
        <w:tc>
          <w:tcPr>
            <w:tcW w:w="62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0"/>
        </w:trPr>
        <w:tc>
          <w:tcPr>
            <w:tcW w:w="6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(321) 939-3416</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1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1150" w:type="dxa"/>
        <w:tblCellMar>
          <w:top w:w="0" w:type="dxa"/>
          <w:left w:w="0" w:type="dxa"/>
          <w:bottom w:w="0" w:type="dxa"/>
          <w:right w:w="0" w:type="dxa"/>
        </w:tblCellMar>
      </w:tblPr>
      <w:tr>
        <w:trPr>
          <w:trHeight w:val="210"/>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c>
          <w:tcPr>
            <w:tcW w:w="0" w:type="dxa"/>
            <w:vAlign w:val="bottom"/>
          </w:tcPr>
          <w:p>
            <w:pPr>
              <w:spacing w:after="0"/>
              <w:rPr>
                <w:sz w:val="1"/>
                <w:szCs w:val="1"/>
                <w:color w:val="auto"/>
              </w:rPr>
            </w:pPr>
          </w:p>
        </w:tc>
      </w:tr>
      <w:tr>
        <w:trPr>
          <w:trHeight w:val="126"/>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0" w:type="dxa"/>
            <w:vAlign w:val="bottom"/>
          </w:tcPr>
          <w:p>
            <w:pPr>
              <w:spacing w:after="0"/>
              <w:rPr>
                <w:sz w:val="1"/>
                <w:szCs w:val="1"/>
                <w:color w:val="auto"/>
              </w:rPr>
            </w:pPr>
          </w:p>
        </w:tc>
      </w:tr>
      <w:tr>
        <w:trPr>
          <w:trHeight w:val="124"/>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0" w:type="dxa"/>
            <w:vAlign w:val="bottom"/>
            <w:tcBorders>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Common Stock, $0.0001 par value per</w:t>
            </w:r>
          </w:p>
        </w:tc>
        <w:tc>
          <w:tcPr>
            <w:tcW w:w="30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KMPH</w:t>
            </w:r>
          </w:p>
        </w:tc>
        <w:tc>
          <w:tcPr>
            <w:tcW w:w="298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282"/>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176"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Total shares of common stock outstanding as of August 11, 2022: 34,493,634</w:t>
      </w:r>
    </w:p>
    <w:p>
      <w:pPr>
        <w:sectPr>
          <w:pgSz w:w="11900" w:h="16838" w:orient="portrait"/>
          <w:cols w:equalWidth="0" w:num="1">
            <w:col w:w="11240"/>
          </w:cols>
          <w:pgMar w:left="320" w:top="1087"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259715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302260</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720090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11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gridSpan w:val="13"/>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KEMPHARM, INC.</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60" w:type="dxa"/>
            <w:vAlign w:val="bottom"/>
            <w:gridSpan w:val="12"/>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380" w:type="dxa"/>
            <w:vAlign w:val="bottom"/>
            <w:gridSpan w:val="15"/>
            <w:shd w:val="clear" w:color="auto" w:fill="CCEEFF"/>
          </w:tcPr>
          <w:p>
            <w:pPr>
              <w:jc w:val="center"/>
              <w:ind w:right="3160"/>
              <w:spacing w:after="0" w:line="175"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1.</w:t>
            </w:r>
          </w:p>
        </w:tc>
        <w:tc>
          <w:tcPr>
            <w:tcW w:w="5780" w:type="dxa"/>
            <w:vAlign w:val="bottom"/>
            <w:tcBorders>
              <w:bottom w:val="single" w:sz="8" w:color="0000EE"/>
            </w:tcBorders>
            <w:gridSpan w:val="1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FINANCIAL STATEMENTS</w:t>
            </w:r>
          </w:p>
        </w:tc>
        <w:tc>
          <w:tcPr>
            <w:tcW w:w="3760" w:type="dxa"/>
            <w:vAlign w:val="bottom"/>
            <w:tcBorders>
              <w:bottom w:val="single" w:sz="8" w:color="CCEEFF"/>
            </w:tcBorders>
            <w:gridSpan w:val="11"/>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5"/>
          </w:tcPr>
          <w:p>
            <w:pPr>
              <w:spacing w:after="0" w:line="175" w:lineRule="exact"/>
              <w:rPr>
                <w:sz w:val="20"/>
                <w:szCs w:val="20"/>
                <w:color w:val="auto"/>
              </w:rPr>
            </w:pPr>
            <w:r>
              <w:rPr>
                <w:rFonts w:ascii="Times New Roman" w:cs="Times New Roman" w:eastAsia="Times New Roman" w:hAnsi="Times New Roman"/>
                <w:sz w:val="18"/>
                <w:szCs w:val="18"/>
                <w:color w:val="0000EE"/>
              </w:rPr>
              <w:t>UNAUDITED CONDENSED CONSOLIDATED BALANCE SHEETS AS OF JUNE 30, 2022 AND DECEMBER 31, 2021</w:t>
            </w:r>
          </w:p>
        </w:tc>
        <w:tc>
          <w:tcPr>
            <w:tcW w:w="380" w:type="dxa"/>
            <w:vAlign w:val="bottom"/>
            <w:gridSpan w:val="4"/>
          </w:tcPr>
          <w:p>
            <w:pPr>
              <w:jc w:val="center"/>
              <w:ind w:left="90"/>
              <w:spacing w:after="0" w:line="175" w:lineRule="exact"/>
              <w:rPr>
                <w:sz w:val="20"/>
                <w:szCs w:val="20"/>
                <w:color w:val="auto"/>
              </w:rPr>
            </w:pPr>
            <w:r>
              <w:rPr>
                <w:rFonts w:ascii="Times New Roman" w:cs="Times New Roman" w:eastAsia="Times New Roman" w:hAnsi="Times New Roman"/>
                <w:sz w:val="18"/>
                <w:szCs w:val="18"/>
                <w:color w:val="0000EE"/>
                <w:w w:val="88"/>
              </w:rPr>
              <w:t>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160" w:type="dxa"/>
            <w:vAlign w:val="bottom"/>
            <w:tcBorders>
              <w:bottom w:val="single" w:sz="8" w:color="0000EE"/>
            </w:tcBorders>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OPERATIONS FOR THE THREE AND SIX MONTHS</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380" w:type="dxa"/>
            <w:vAlign w:val="bottom"/>
            <w:gridSpan w:val="2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ENDED JUNE 30, 2022 AND 2021</w:t>
            </w:r>
          </w:p>
        </w:tc>
        <w:tc>
          <w:tcPr>
            <w:tcW w:w="380" w:type="dxa"/>
            <w:vAlign w:val="bottom"/>
            <w:gridSpan w:val="4"/>
            <w:shd w:val="clear" w:color="auto" w:fill="CCEEFF"/>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bottom w:val="single" w:sz="8" w:color="0000EE"/>
            </w:tcBorders>
            <w:gridSpan w:val="22"/>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STOCKHOLDERS' EQUITY FOR THE THREE AND</w:t>
            </w:r>
          </w:p>
        </w:tc>
        <w:tc>
          <w:tcPr>
            <w:tcW w:w="3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25"/>
          </w:tcPr>
          <w:p>
            <w:pPr>
              <w:spacing w:after="0" w:line="195" w:lineRule="exact"/>
              <w:rPr>
                <w:sz w:val="20"/>
                <w:szCs w:val="20"/>
                <w:color w:val="auto"/>
              </w:rPr>
            </w:pPr>
            <w:r>
              <w:rPr>
                <w:rFonts w:ascii="Times New Roman" w:cs="Times New Roman" w:eastAsia="Times New Roman" w:hAnsi="Times New Roman"/>
                <w:sz w:val="18"/>
                <w:szCs w:val="18"/>
                <w:color w:val="0000EE"/>
              </w:rPr>
              <w:t>SIX MONTHS ENDED JUNE 30, 2022 AND 2021</w:t>
            </w:r>
          </w:p>
        </w:tc>
        <w:tc>
          <w:tcPr>
            <w:tcW w:w="380" w:type="dxa"/>
            <w:vAlign w:val="bottom"/>
            <w:gridSpan w:val="4"/>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SIX MONTHS ENDED JUNE</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260" w:type="dxa"/>
            <w:vAlign w:val="bottom"/>
            <w:tcBorders>
              <w:top w:val="single" w:sz="8" w:color="0000EE"/>
            </w:tcBorders>
            <w:gridSpan w:val="2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30, 2022 AND 2021</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gridSpan w:val="4"/>
            <w:shd w:val="clear" w:color="auto" w:fill="CCEEFF"/>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8</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5"/>
          </w:tcPr>
          <w:p>
            <w:pPr>
              <w:spacing w:after="0" w:line="175"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380" w:type="dxa"/>
            <w:vAlign w:val="bottom"/>
            <w:gridSpan w:val="4"/>
          </w:tcPr>
          <w:p>
            <w:pPr>
              <w:jc w:val="center"/>
              <w:ind w:left="90"/>
              <w:spacing w:after="0" w:line="175" w:lineRule="exact"/>
              <w:rPr>
                <w:sz w:val="20"/>
                <w:szCs w:val="20"/>
                <w:color w:val="auto"/>
              </w:rPr>
            </w:pPr>
            <w:r>
              <w:rPr>
                <w:rFonts w:ascii="Times New Roman" w:cs="Times New Roman" w:eastAsia="Times New Roman" w:hAnsi="Times New Roman"/>
                <w:sz w:val="18"/>
                <w:szCs w:val="18"/>
                <w:color w:val="0000EE"/>
                <w:w w:val="88"/>
              </w:rPr>
              <w:t>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22"/>
          </w:tcPr>
          <w:p>
            <w:pPr>
              <w:spacing w:after="0" w:line="175"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gridSpan w:val="5"/>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360" w:type="dxa"/>
            <w:vAlign w:val="bottom"/>
            <w:gridSpan w:val="14"/>
            <w:shd w:val="clear" w:color="auto" w:fill="CCEEFF"/>
          </w:tcPr>
          <w:p>
            <w:pPr>
              <w:jc w:val="center"/>
              <w:ind w:right="3180"/>
              <w:spacing w:after="0" w:line="175"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1A.</w:t>
            </w:r>
          </w:p>
        </w:tc>
        <w:tc>
          <w:tcPr>
            <w:tcW w:w="1860" w:type="dxa"/>
            <w:vAlign w:val="bottom"/>
            <w:gridSpan w:val="7"/>
          </w:tcPr>
          <w:p>
            <w:pPr>
              <w:spacing w:after="0" w:line="175" w:lineRule="exact"/>
              <w:rPr>
                <w:sz w:val="20"/>
                <w:szCs w:val="20"/>
                <w:color w:val="auto"/>
              </w:rPr>
            </w:pPr>
            <w:r>
              <w:rPr>
                <w:rFonts w:ascii="Times New Roman" w:cs="Times New Roman" w:eastAsia="Times New Roman" w:hAnsi="Times New Roman"/>
                <w:sz w:val="18"/>
                <w:szCs w:val="18"/>
                <w:color w:val="0000EE"/>
              </w:rPr>
              <w:t>RISK FACTORS</w:t>
            </w:r>
          </w:p>
        </w:tc>
        <w:tc>
          <w:tcPr>
            <w:tcW w:w="7680" w:type="dxa"/>
            <w:vAlign w:val="bottom"/>
            <w:gridSpan w:val="20"/>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2.</w:t>
            </w:r>
          </w:p>
        </w:tc>
        <w:tc>
          <w:tcPr>
            <w:tcW w:w="6040" w:type="dxa"/>
            <w:vAlign w:val="bottom"/>
            <w:gridSpan w:val="1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500" w:type="dxa"/>
            <w:vAlign w:val="bottom"/>
            <w:gridSpan w:val="10"/>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3.</w:t>
            </w:r>
          </w:p>
        </w:tc>
        <w:tc>
          <w:tcPr>
            <w:tcW w:w="6040" w:type="dxa"/>
            <w:vAlign w:val="bottom"/>
            <w:gridSpan w:val="17"/>
          </w:tcPr>
          <w:p>
            <w:pPr>
              <w:spacing w:after="0" w:line="175"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500" w:type="dxa"/>
            <w:vAlign w:val="bottom"/>
            <w:gridSpan w:val="10"/>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5.</w:t>
            </w:r>
          </w:p>
        </w:tc>
        <w:tc>
          <w:tcPr>
            <w:tcW w:w="242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0000EE"/>
              </w:rPr>
              <w:t>OTHER INFORMATION</w:t>
            </w:r>
          </w:p>
        </w:tc>
        <w:tc>
          <w:tcPr>
            <w:tcW w:w="7120" w:type="dxa"/>
            <w:vAlign w:val="bottom"/>
            <w:gridSpan w:val="18"/>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5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57</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0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including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target,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contemplates,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assume,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similar words or the negative of these terms. We have based these forward-looking statements largely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II, Item 1A. "Risk Factors" and elsewhere in this Quarterly Report on Form 10-Q and Part I, Item 1A. “Risk Factors” of our Annual Report on Form 10-K for the fiscal year ended December 31, 2021, filed with the SEC on March 31, 2022.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4" w:lineRule="exact"/>
        <w:rPr>
          <w:sz w:val="20"/>
          <w:szCs w:val="20"/>
          <w:color w:val="auto"/>
        </w:rPr>
      </w:pPr>
    </w:p>
    <w:p>
      <w:pPr>
        <w:ind w:left="460" w:hanging="224"/>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5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timing of and expected amount of expenses associated with our research, development and commercialization activities;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additional funds on commercially reasonable terms, or at all, in order to support our continued operations;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timing of our clinical trials for our product candidates and the availability of data and results of those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federal, state and foreign regulatory requirements;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line="184" w:lineRule="auto"/>
        <w:tabs>
          <w:tab w:leader="none" w:pos="460" w:val="left"/>
        </w:tabs>
        <w:numPr>
          <w:ilvl w:val="0"/>
          <w:numId w:val="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i w:val="1"/>
          <w:iCs w:val="1"/>
          <w:color w:val="auto"/>
        </w:rPr>
        <w:t>our intention to seek to establish, and the potential benefits to us from, any strategic collaborations or partnerships for the development or sale of our products and product candidates;</w:t>
      </w:r>
    </w:p>
    <w:p>
      <w:pPr>
        <w:spacing w:after="0" w:line="195" w:lineRule="exact"/>
        <w:rPr>
          <w:rFonts w:ascii="Times New Roman" w:cs="Times New Roman" w:eastAsia="Times New Roman" w:hAnsi="Times New Roman"/>
          <w:sz w:val="34"/>
          <w:szCs w:val="34"/>
          <w:color w:val="auto"/>
          <w:vertAlign w:val="subscript"/>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commercializing our products and product candidates, if approved;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2021, filed with the SEC on March 31, 2022,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requires, we use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KemPharm,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Quarterly Report on Form 10-Q to refer to KemPharm, Inc. We have proprietary rights to a number of trademarks used in this Quarterly Report on Form 10-Q that are important to our business, including KemPharm, LAT and the KemPharm logo.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symbols, but such references should not be construed as any indicator that their respective owners will not assert, to the fullest extent under applicable law,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KEMPHARM,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124,258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132,941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9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discount and rebate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 payable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rebate liabilities, less current portion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ind w:left="320"/>
              <w:spacing w:after="0" w:line="197" w:lineRule="exact"/>
              <w:rPr>
                <w:sz w:val="20"/>
                <w:szCs w:val="20"/>
                <w:color w:val="auto"/>
              </w:rPr>
            </w:pPr>
            <w:r>
              <w:rPr>
                <w:rFonts w:ascii="Times New Roman" w:cs="Times New Roman" w:eastAsia="Times New Roman" w:hAnsi="Times New Roman"/>
                <w:sz w:val="18"/>
                <w:szCs w:val="18"/>
                <w:color w:val="auto"/>
              </w:rPr>
              <w:t>Undesignated preferred stock, $0.0001 par value, 10,000,000 shares authorized, no shares issued or</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as of June 30, 2022 or December 31, 2021</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$0.0001 par value, 250,000,000 shares authorized, 35,399,267 shares issued and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34,489,314 shares outstanding as of June 30, 2022; 35,325,801 shares issued and 35,005,640 shares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396,957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99,233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127,118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132,941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960" w:type="dxa"/>
            <w:vAlign w:val="bottom"/>
            <w:gridSpan w:val="3"/>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KEMPHARM, INC.</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0" w:type="dxa"/>
            <w:vAlign w:val="bottom"/>
            <w:gridSpan w:val="8"/>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UNAUDITED CONDENSED CONSOLIDATED STATEMENTS OF OPERATIONS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17,663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26,067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related to amortization of debt issuance costs and discount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on principal</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derivative and warrant liability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0" w:type="dxa"/>
            <w:vAlign w:val="bottom"/>
          </w:tcPr>
          <w:p>
            <w:pPr>
              <w:spacing w:after="0"/>
              <w:rPr>
                <w:sz w:val="1"/>
                <w:szCs w:val="1"/>
                <w:color w:val="auto"/>
              </w:rPr>
            </w:pPr>
          </w:p>
        </w:tc>
      </w:tr>
      <w:tr>
        <w:trPr>
          <w:trHeight w:val="20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34,447,206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29,174,565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34,476,737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24,187,484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KEMPHARM,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Undesignated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at cost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396,957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127,118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repurchased  as  part  of  the  Share</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Program</w:t>
            </w:r>
          </w:p>
        </w:tc>
        <w:tc>
          <w:tcPr>
            <w:tcW w:w="100" w:type="dxa"/>
            <w:vAlign w:val="bottom"/>
          </w:tcPr>
          <w:p>
            <w:pPr>
              <w:spacing w:after="0"/>
              <w:rPr>
                <w:sz w:val="18"/>
                <w:szCs w:val="18"/>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exchange for</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consulting services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397,925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(268,893)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121,499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(24,042)</w:t>
            </w: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7"/>
                <w:szCs w:val="17"/>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exchange for</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consulting services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as part of the</w:t>
            </w:r>
          </w:p>
        </w:tc>
        <w:tc>
          <w:tcPr>
            <w:tcW w:w="100" w:type="dxa"/>
            <w:vAlign w:val="bottom"/>
          </w:tcPr>
          <w:p>
            <w:pPr>
              <w:spacing w:after="0"/>
              <w:rPr>
                <w:sz w:val="16"/>
                <w:szCs w:val="16"/>
                <w:color w:val="auto"/>
              </w:rPr>
            </w:pPr>
          </w:p>
        </w:tc>
        <w:tc>
          <w:tcPr>
            <w:tcW w:w="11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399,701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KEMPHARM,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121" w:right="339" w:bottom="6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right="320" w:hanging="160"/>
        <w:spacing w:after="0" w:line="268" w:lineRule="auto"/>
        <w:rPr>
          <w:sz w:val="20"/>
          <w:szCs w:val="20"/>
          <w:color w:val="auto"/>
        </w:rPr>
      </w:pPr>
      <w:r>
        <w:rPr>
          <w:rFonts w:ascii="Times New Roman" w:cs="Times New Roman" w:eastAsia="Times New Roman" w:hAnsi="Times New Roman"/>
          <w:sz w:val="16"/>
          <w:szCs w:val="16"/>
          <w:color w:val="auto"/>
        </w:rPr>
        <w:t>Balance as of January 1, 2021 Net loss</w:t>
      </w:r>
    </w:p>
    <w:p>
      <w:pPr>
        <w:ind w:left="160" w:right="360"/>
        <w:spacing w:after="0" w:line="262" w:lineRule="auto"/>
        <w:rPr>
          <w:sz w:val="20"/>
          <w:szCs w:val="20"/>
          <w:color w:val="auto"/>
        </w:rPr>
      </w:pPr>
      <w:r>
        <w:rPr>
          <w:rFonts w:ascii="Times New Roman" w:cs="Times New Roman" w:eastAsia="Times New Roman" w:hAnsi="Times New Roman"/>
          <w:sz w:val="16"/>
          <w:szCs w:val="16"/>
          <w:color w:val="auto"/>
        </w:rPr>
        <w:t>Stock-based compensation expense</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Issuance of common stock in</w:t>
      </w:r>
    </w:p>
    <w:p>
      <w:pPr>
        <w:spacing w:after="0" w:line="18"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connection with Public Offering, net of discounts and commissions</w:t>
      </w:r>
    </w:p>
    <w:p>
      <w:pPr>
        <w:spacing w:after="0" w:line="2"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Issuance of common stock in connection with the exercise of warrants in the Inducement Transaction, net of discounts and commissions</w:t>
      </w:r>
    </w:p>
    <w:p>
      <w:pPr>
        <w:spacing w:after="0" w:line="3"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Issuance of common stock in connection with the exercise of common stock warrants</w:t>
      </w:r>
    </w:p>
    <w:p>
      <w:pPr>
        <w:spacing w:after="0" w:line="2"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Fair value of warrants issued in connection with the Exchange Agreement</w:t>
      </w:r>
    </w:p>
    <w:p>
      <w:pPr>
        <w:spacing w:after="0" w:line="2"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Fair value of Series B-2 Preferred Stock issued in accordance with the Exchange Agreement</w:t>
      </w:r>
    </w:p>
    <w:p>
      <w:pPr>
        <w:spacing w:after="0" w:line="3"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Issuance of common stock as a result of Series B-2 Preferred Stock conversion</w:t>
      </w:r>
    </w:p>
    <w:p>
      <w:pPr>
        <w:spacing w:after="0" w:line="2"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Fair value of warrants issued in connection with the Inducement Transaction</w:t>
      </w:r>
    </w:p>
    <w:p>
      <w:pPr>
        <w:spacing w:after="0" w:line="2" w:lineRule="exact"/>
        <w:rPr>
          <w:sz w:val="20"/>
          <w:szCs w:val="20"/>
          <w:color w:val="auto"/>
        </w:rPr>
      </w:pPr>
    </w:p>
    <w:p>
      <w:pPr>
        <w:ind w:left="160"/>
        <w:spacing w:after="0" w:line="262" w:lineRule="auto"/>
        <w:rPr>
          <w:sz w:val="20"/>
          <w:szCs w:val="20"/>
          <w:color w:val="auto"/>
        </w:rPr>
      </w:pPr>
      <w:r>
        <w:rPr>
          <w:rFonts w:ascii="Times New Roman" w:cs="Times New Roman" w:eastAsia="Times New Roman" w:hAnsi="Times New Roman"/>
          <w:sz w:val="16"/>
          <w:szCs w:val="16"/>
          <w:color w:val="auto"/>
        </w:rPr>
        <w:t>Deemed dividend related the Inducement Transaction Offering expenses charged to equity</w:t>
      </w:r>
    </w:p>
    <w:p>
      <w:pPr>
        <w:spacing w:after="0" w:line="3" w:lineRule="exact"/>
        <w:rPr>
          <w:sz w:val="20"/>
          <w:szCs w:val="20"/>
          <w:color w:val="auto"/>
        </w:rPr>
      </w:pPr>
    </w:p>
    <w:p>
      <w:pPr>
        <w:jc w:val="both"/>
        <w:ind w:left="160"/>
        <w:spacing w:after="0" w:line="285" w:lineRule="auto"/>
        <w:rPr>
          <w:sz w:val="20"/>
          <w:szCs w:val="20"/>
          <w:color w:val="auto"/>
        </w:rPr>
      </w:pPr>
      <w:r>
        <w:rPr>
          <w:rFonts w:ascii="Times New Roman" w:cs="Times New Roman" w:eastAsia="Times New Roman" w:hAnsi="Times New Roman"/>
          <w:sz w:val="16"/>
          <w:szCs w:val="16"/>
          <w:color w:val="auto"/>
        </w:rPr>
        <w:t>Issuance of common stock in exchange for consulting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as of March 31, 2021</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Net income</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expense</w:t>
      </w:r>
    </w:p>
    <w:p>
      <w:pPr>
        <w:spacing w:after="0" w:line="18" w:lineRule="exact"/>
        <w:rPr>
          <w:sz w:val="20"/>
          <w:szCs w:val="20"/>
          <w:color w:val="auto"/>
        </w:rPr>
      </w:pPr>
    </w:p>
    <w:p>
      <w:pPr>
        <w:ind w:left="160"/>
        <w:spacing w:after="0" w:line="262" w:lineRule="auto"/>
        <w:rPr>
          <w:sz w:val="20"/>
          <w:szCs w:val="20"/>
          <w:color w:val="auto"/>
        </w:rPr>
      </w:pPr>
      <w:r>
        <w:rPr>
          <w:rFonts w:ascii="Times New Roman" w:cs="Times New Roman" w:eastAsia="Times New Roman" w:hAnsi="Times New Roman"/>
          <w:sz w:val="16"/>
          <w:szCs w:val="16"/>
          <w:color w:val="auto"/>
        </w:rPr>
        <w:t>Issuance of common stock in connection with the exercise of warrants in the June 2021 Inducement Transaction, net of discounts and commissions Issuance of common stock in connection with the exercise of common stock warrants</w:t>
      </w:r>
    </w:p>
    <w:p>
      <w:pPr>
        <w:spacing w:after="0" w:line="6" w:lineRule="exact"/>
        <w:rPr>
          <w:sz w:val="20"/>
          <w:szCs w:val="20"/>
          <w:color w:val="auto"/>
        </w:rPr>
      </w:pPr>
    </w:p>
    <w:p>
      <w:pPr>
        <w:ind w:left="160"/>
        <w:spacing w:after="0" w:line="262" w:lineRule="auto"/>
        <w:rPr>
          <w:sz w:val="20"/>
          <w:szCs w:val="20"/>
          <w:color w:val="auto"/>
        </w:rPr>
      </w:pPr>
      <w:r>
        <w:rPr>
          <w:rFonts w:ascii="Times New Roman" w:cs="Times New Roman" w:eastAsia="Times New Roman" w:hAnsi="Times New Roman"/>
          <w:sz w:val="16"/>
          <w:szCs w:val="16"/>
          <w:color w:val="auto"/>
        </w:rPr>
        <w:t>Fair value of warrants issued in connection with the June 2021 Inducement Transaction Deemed dividend related the</w:t>
      </w:r>
    </w:p>
    <w:p>
      <w:pPr>
        <w:spacing w:after="0" w:line="3"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6"/>
          <w:szCs w:val="16"/>
          <w:color w:val="auto"/>
        </w:rPr>
        <w:t>June 2021 Inducement Transaction</w:t>
      </w:r>
    </w:p>
    <w:p>
      <w:pPr>
        <w:spacing w:after="0" w:line="1" w:lineRule="exact"/>
        <w:rPr>
          <w:sz w:val="20"/>
          <w:szCs w:val="20"/>
          <w:color w:val="auto"/>
        </w:rPr>
      </w:pPr>
    </w:p>
    <w:p>
      <w:pPr>
        <w:ind w:left="160" w:right="200"/>
        <w:spacing w:after="0" w:line="262" w:lineRule="auto"/>
        <w:rPr>
          <w:sz w:val="20"/>
          <w:szCs w:val="20"/>
          <w:color w:val="auto"/>
        </w:rPr>
      </w:pPr>
      <w:r>
        <w:rPr>
          <w:rFonts w:ascii="Times New Roman" w:cs="Times New Roman" w:eastAsia="Times New Roman" w:hAnsi="Times New Roman"/>
          <w:sz w:val="16"/>
          <w:szCs w:val="16"/>
          <w:color w:val="auto"/>
        </w:rPr>
        <w:t>Offering expenses charged to equity</w:t>
      </w:r>
    </w:p>
    <w:p>
      <w:pPr>
        <w:spacing w:after="0" w:line="1" w:lineRule="exact"/>
        <w:rPr>
          <w:sz w:val="20"/>
          <w:szCs w:val="20"/>
          <w:color w:val="auto"/>
        </w:rPr>
      </w:pPr>
    </w:p>
    <w:p>
      <w:pPr>
        <w:jc w:val="both"/>
        <w:ind w:left="160"/>
        <w:spacing w:after="0" w:line="285" w:lineRule="auto"/>
        <w:rPr>
          <w:sz w:val="20"/>
          <w:szCs w:val="20"/>
          <w:color w:val="auto"/>
        </w:rPr>
      </w:pPr>
      <w:r>
        <w:rPr>
          <w:rFonts w:ascii="Times New Roman" w:cs="Times New Roman" w:eastAsia="Times New Roman" w:hAnsi="Times New Roman"/>
          <w:sz w:val="16"/>
          <w:szCs w:val="16"/>
          <w:color w:val="auto"/>
        </w:rPr>
        <w:t>Issuance of common stock in exchange for consulting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as of June 30, 2021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2"/>
        </w:trPr>
        <w:tc>
          <w:tcPr>
            <w:tcW w:w="100" w:type="dxa"/>
            <w:vAlign w:val="bottom"/>
          </w:tcPr>
          <w:p>
            <w:pPr>
              <w:spacing w:after="0"/>
              <w:rPr>
                <w:sz w:val="15"/>
                <w:szCs w:val="15"/>
                <w:color w:val="auto"/>
              </w:rPr>
            </w:pPr>
          </w:p>
        </w:tc>
        <w:tc>
          <w:tcPr>
            <w:tcW w:w="920" w:type="dxa"/>
            <w:vAlign w:val="bottom"/>
          </w:tcPr>
          <w:p>
            <w:pPr>
              <w:jc w:val="center"/>
              <w:ind w:right="119"/>
              <w:spacing w:after="0" w:line="182" w:lineRule="exact"/>
              <w:rPr>
                <w:sz w:val="20"/>
                <w:szCs w:val="20"/>
                <w:color w:val="auto"/>
              </w:rPr>
            </w:pPr>
            <w:r>
              <w:rPr>
                <w:rFonts w:ascii="Times New Roman" w:cs="Times New Roman" w:eastAsia="Times New Roman" w:hAnsi="Times New Roman"/>
                <w:sz w:val="16"/>
                <w:szCs w:val="16"/>
                <w:b w:val="1"/>
                <w:bCs w:val="1"/>
                <w:color w:val="auto"/>
                <w:w w:val="99"/>
              </w:rPr>
              <w:t>Series A</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99"/>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Series B-1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19"/>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Series B-2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2"/>
        </w:trPr>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2"/>
        </w:trPr>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02"/>
        </w:trPr>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(Deficit)</w:t>
            </w:r>
          </w:p>
        </w:tc>
      </w:tr>
      <w:tr>
        <w:trPr>
          <w:trHeight w:val="212"/>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1"/>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192,062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(258,474)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(66,412)</w:t>
            </w:r>
          </w:p>
        </w:tc>
      </w:tr>
      <w:tr>
        <w:trPr>
          <w:trHeight w:val="203"/>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(10,296)</w:t>
            </w:r>
          </w:p>
        </w:tc>
      </w:tr>
      <w:tr>
        <w:trPr>
          <w:trHeight w:val="389"/>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675</w:t>
            </w:r>
          </w:p>
        </w:tc>
      </w:tr>
      <w:tr>
        <w:trPr>
          <w:trHeight w:val="806"/>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49,284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49,285</w:t>
            </w:r>
          </w:p>
        </w:tc>
      </w:tr>
      <w:tr>
        <w:trPr>
          <w:trHeight w:val="1008"/>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40,391</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25,593</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15,990</w:t>
            </w:r>
          </w:p>
        </w:tc>
      </w:tr>
      <w:tr>
        <w:trPr>
          <w:trHeight w:val="806"/>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29,056</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38,437</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(37,444)</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591"/>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r>
      <w:tr>
        <w:trPr>
          <w:trHeight w:val="201"/>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353,018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(268,770)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84,251</w:t>
            </w:r>
          </w:p>
        </w:tc>
      </w:tr>
      <w:tr>
        <w:trPr>
          <w:trHeight w:val="203"/>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6,203</w:t>
            </w:r>
          </w:p>
        </w:tc>
      </w:tr>
      <w:tr>
        <w:trPr>
          <w:trHeight w:val="389"/>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w:t>
            </w:r>
          </w:p>
        </w:tc>
      </w:tr>
      <w:tr>
        <w:trPr>
          <w:trHeight w:val="1008"/>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35,455</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4,191</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17,089</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(16,898)</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591"/>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r>
      <w:tr>
        <w:trPr>
          <w:trHeight w:val="201"/>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393,227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(262,567)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130,663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-7720965</wp:posOffset>
            </wp:positionV>
            <wp:extent cx="713295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-7456805</wp:posOffset>
            </wp:positionV>
            <wp:extent cx="7132955" cy="255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-6688455</wp:posOffset>
            </wp:positionV>
            <wp:extent cx="7132955" cy="640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64008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-5664835</wp:posOffset>
            </wp:positionV>
            <wp:extent cx="7132955" cy="384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-4768850</wp:posOffset>
            </wp:positionV>
            <wp:extent cx="7132955" cy="384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-4001135</wp:posOffset>
            </wp:positionV>
            <wp:extent cx="7132955" cy="25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-3489325</wp:posOffset>
            </wp:positionV>
            <wp:extent cx="7132955" cy="384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-2968625</wp:posOffset>
            </wp:positionV>
            <wp:extent cx="713295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-2584450</wp:posOffset>
            </wp:positionV>
            <wp:extent cx="7132955" cy="640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64008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-1560830</wp:posOffset>
            </wp:positionV>
            <wp:extent cx="7132955" cy="384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-793115</wp:posOffset>
            </wp:positionV>
            <wp:extent cx="7132955" cy="255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-153035</wp:posOffset>
            </wp:positionV>
            <wp:extent cx="7132955" cy="153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260" w:space="120"/>
            <w:col w:w="8860"/>
          </w:cols>
          <w:pgMar w:left="320" w:top="121" w:right="339" w:bottom="637"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ectPr>
          <w:pgSz w:w="11900" w:h="16838" w:orient="portrait"/>
          <w:cols w:equalWidth="0" w:num="1">
            <w:col w:w="11240"/>
          </w:cols>
          <w:pgMar w:left="320" w:top="121" w:right="339" w:bottom="637"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637"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KEMPHARM, INC.</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UNAUDITED CONDENSED CONSOLIDATED STATEMENTS OF CASH FLOWS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8"/>
        </w:trPr>
        <w:tc>
          <w:tcPr>
            <w:tcW w:w="734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derivative and warrant liability</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sublease and disposal of property and equipment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Consulting fees paid in common stock</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Discount and rebate liabilities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14,017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net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Public Offering, net of discounts and commissions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January 2021 Inducement Transaction, net of discounts and commissions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June 2021 Inducement Transaction, net of discounts and commissions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insurance financing arrangements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principal on insurance financing arrangements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repurchase shares as part of the Share Repurchase Program</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principal on finance lease liabilities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principal on convertible notes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 from exercise of common stock warrants</w:t>
            </w:r>
          </w:p>
        </w:tc>
        <w:tc>
          <w:tcPr>
            <w:tcW w:w="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08"/>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76,779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Notes principal converted to Series B-2 Preferred Stock</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for property and equipment included in accounts payable and accrued expenses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for deferred offering costs included in accounts payable and accrued expenses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issued to underwriters in connection with Public Offering</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07" w:right="339" w:bottom="946"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946"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KEMPHARM,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KemPharm, Inc. (the "Company") is a specialty pharmaceutical company focused on the discovery and development of treatments for central nervous system ("CNS") and rare disease indications that allow the Company to target high-value areas with significant unmet needs. The Company's core competency is the discovery and development of proprietary prodrugs to treat serious medical conditions through its proprietary Ligand Activated Therapy ("LAT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platform technology. The Company utilizes its proprietary LAT platform technology to generate improved prodrug versions of drugs approved by the U.S. Food and Drug Administration ("FDA") as well as to generate prodrug versions of existing compounds that may have applications for new disease indications. The Company's prodrug product candidate pipeline is currently focused on the high need areas of idiopathic hypersomnia ("IH") and other CNS/rare diseases. The Company's approved product, AZSTARYS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formerly referred to as KP415, a new once-daily treatment for attention deficit hyperactivity disorder ("ADHD") in patients age six years and older contains the Company's prodrug, serdexmethylphenidate ("SDX"). AZSTARYS is being commercialized in the United States by Corium, Inc., an affiliate of Gurnet Point Capital, L.P. The Company's lead clinical development product candidate, KP1077, is based on SDX, the Company's prodrug of d-methlyphenidate ("d-MPH") and is in development for the treatment of IH and narcolepsy. The Company's prodrug product candidate for the treatment of stimulant use disorder ("SUD") is KP879.</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instructions to Form 10-Q and Rule 8-03 of Regulation S-X. Accordingly, they do not include all of the information and related notes required by U.S. GAAP for complete financial statements. In the opinion of management, all adjustments (consisting of normal recurring adjustments) considered necessary for a fair presentation have been included in the accompanying financial statements. Operating results for the three and six months ended June 30, 2022, are not necessarily indicative of the results that may be expected for the full year ending December 31, 2022.</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This interim information should be read in conjunction with the audited financial statements included in the Company’s Annual Report on Form 10-K for the fiscal year ended December 31, 2021, filed with the Securities and Exchange Commission (“SEC”) on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prepared the financial statements in accordance with United States generally accepted accounting principles (“GAAP”) and the rules and regulations of the United States Securities and Exchange Commission (the "SEC") and, in the Company's opinion, reflect all adjustments, including normal recurring items that are necessary.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Arimoclomol Acquisition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2022, the Company and KemPharm Denmark A/S (“KemPharm DK”), a newly formed Danish company and wholly-owned subsidiary of KemPharm, Inc., entered into an asset purchase agreement (the “Arimoclomol Purchase Agreement”) with Orphazyme A/S in restructuring, a Danish public limited liability company (“Orphazyme”). The Arimoclomol Purchase Agreement closed on May 31, 2022. Under the terms of the Arimoclomol Purchase Agreement, KemPharm DK purchased all of the assets and operations of Orphazyme related to arimoclomol and settled all of Orphazyme’s actual outstanding liabilities to its creditors with a cash payment of $12.8 million. In addition, KemPharm DK agreed to assume an estimated reserve liability of $5.2 million related to revenue generated from Orphazyme’s Early Access Program in France.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accounted for the arimoclomol acquisition as an asset acquisition as the majority of the value of the assets acquired related to the arimoclomol acquired in-process research and development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our asset valuations included the estimated net cash flows for asset, including net revenues, cost of sales, research and development and other operating expenses, the potential regulatory and commercial success rates, competitive trends impacting the assets, and tax rates, and were based on our most recent strategic plan.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not observable in the market and thus represent Level 3 fair value measurement.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Subtopic 730-10-25, </w:t>
      </w:r>
      <w:r>
        <w:rPr>
          <w:rFonts w:ascii="Times New Roman" w:cs="Times New Roman" w:eastAsia="Times New Roman" w:hAnsi="Times New Roman"/>
          <w:sz w:val="18"/>
          <w:szCs w:val="18"/>
          <w:i w:val="1"/>
          <w:iCs w:val="1"/>
          <w:color w:val="auto"/>
        </w:rPr>
        <w:t>Accounting for Research and Development Costs</w:t>
      </w:r>
      <w:r>
        <w:rPr>
          <w:rFonts w:ascii="Times New Roman" w:cs="Times New Roman" w:eastAsia="Times New Roman" w:hAnsi="Times New Roman"/>
          <w:sz w:val="18"/>
          <w:szCs w:val="18"/>
          <w:color w:val="auto"/>
        </w:rPr>
        <w:t>, the up-front payments to acquire a new drug compound, as well as future milestone payments when paid or payable, are immediately expensed as acquired IPR&amp;D in transactions other than a business combination provided that the drug has not achieved regulatory approval for marketing and, absent obtaining such approval, has no alternative future use. Therefore, the portion of the purchase price that was allocated to the IPR&amp;D assets acquired was immediately expensed. Other assets acquired and liabilities assumed, were recorded at fair value. The company also recorded a $0.7 million income tax benefit for the three and six months ended June 30, 2022 related to research and development credits that are expected to be realized from the local jurisdiction in Denmark.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consideration paid and purchase price allocation for the acquisition of arimoclomol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Assumed reserve liability</w:t>
            </w:r>
          </w:p>
        </w:tc>
        <w:tc>
          <w:tcPr>
            <w:tcW w:w="2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2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18,000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12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Direct transaction costs associated with the acquisition (1)</w:t>
            </w:r>
          </w:p>
        </w:tc>
        <w:tc>
          <w:tcPr>
            <w:tcW w:w="2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to be allocated</w:t>
            </w:r>
          </w:p>
        </w:tc>
        <w:tc>
          <w:tcPr>
            <w:tcW w:w="2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19,290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12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inventory and assembled workforce acquired</w:t>
            </w:r>
          </w:p>
        </w:tc>
        <w:tc>
          <w:tcPr>
            <w:tcW w:w="2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IPR&amp;D (2)</w:t>
            </w:r>
          </w:p>
        </w:tc>
        <w:tc>
          <w:tcPr>
            <w:tcW w:w="2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allocated purchase price</w:t>
            </w:r>
          </w:p>
        </w:tc>
        <w:tc>
          <w:tcPr>
            <w:tcW w:w="2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7"/>
        <w:spacing w:after="0" w:line="256" w:lineRule="auto"/>
        <w:tabs>
          <w:tab w:leader="none" w:pos="2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asset acquisition accounting, the transaction costs associated with the acquisition should be included in the costs of the assets acquired and allocated amongst qualifying assets using the relative fair value basis. The transaction costs primarily included financial advisor fees, legal expenses and auditor expenses.</w:t>
      </w:r>
    </w:p>
    <w:p>
      <w:pPr>
        <w:spacing w:after="0" w:line="1"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asset acquired, the IPR&amp;D asset, was expensed and the allocated transaction related costs were included with and expensed with this asset.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S-1 (File No. 333-250945) and a related prospectus, in each case filed with the Securities and Exchange Commission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8, 2021, the Underwriter exercised its over-allotment option, in part, for warrants to purchase 754,035 shares of the Company’s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on February 1, 2021, the Underwriter again exercised its over-allotment option to purchase 374,035 shares of common stock.</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25, 2022, the Company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on the Nasdaq Stock Market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January 7, 2021, the Company’s common stock was approved for listing on the Nasdaq Capital Market. The Company’s common stock began trading on the Nasdaq Capital Market on January 8, 2021, under the ticker symbol “KMPH”.</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October 19, 2021, the Company announced that its shares of common stock were approved for listing to the Nasdaq Global Select Market. Trading on the Nasdaq Global Select Market commenced effective with the open of business on October 19, 2021, under the Company’s ticker symbol, “KMPH”. The Company was previously listed on the Nasdaq Capital Market, following its uplisting to the exchange in January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2021 ATM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June 30, 2022, no shares have been issued or sold under the 2021 ATM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20, 2021, the Company initiated a share repurchase program (the "Share Repurchase Program") pursuant to which the Company may repurchase up to $50 million of shares of its common stock through December 31, 2023. Capital allocation to the Share Repurchase Program will be based on a variety of factors, including our business results, the receipt of royalties and sales milestones under the KP415 License Agreement, and potentially other sources of non-dilutive capital that may become available to the Company.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 The Company does not currently intend to retire the repurchased treasury shares, rather all repurchased treasury shares will remain authorized but unissued. As of June 30, 2022, the Company has repurchased 909,953 shares of its common stock for approximately $7.5 million under the Share Repurchase Program.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amounts reported in the financial statements and accompanying notes. Actual results could differ from those estimates.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long-term investments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commenced recognizing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starting January 1, 2018.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Multiple-Performance Obligations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the Company enters into arrangements for research and development, manufacturing and/or commercialization services. Such arrangements may 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licensing agreements with licensees that fall under the scope of ASC 606.</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Up-front Fees: </w:t>
      </w: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ectPr>
          <w:pgSz w:w="11900" w:h="16838" w:orient="portrait"/>
          <w:cols w:equalWidth="0" w:num="1">
            <w:col w:w="11240"/>
          </w:cols>
          <w:pgMar w:left="320" w:top="121" w:right="339" w:bottom="413"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413"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KP415 License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2019, the Company entered into a Collaboration and License Agreement (the “KP415 License Agreement”) with Commave Therapeutics SA, an affiliate of Gurnet Point Capital (“Commave”). Under the KP415 License Agreement, the Company granted to Commave an exclusive, worldwide license to develop, manufacture and commercialize the Company’s product candidates containing SDX and d-methylphenidate (“d-MPH”), including AZSTARYS, KP484, and, at the option of Commave, KP879, KP922 or any other product candidate developed by the Company containing SDX and developed to treat ADHD or any other CNS disorder (the “Additional Product Candidates” and, collectively with AZSTARYS and KP484, the “Licensed Product Candidates”). Pursuant to the KP415 License Agreement, Commave (i) paid the Company an upfront payment of $10.0 million; (ii) agreed to pay milestone payments of up to $63.0 million upon the occurrence of specified regulatory milestones related to AZSTARYS and KP484;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for the applicable product.</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2021, the Company entered into Amendment No. 1 to the KP415 Amendment (the "KP415 Amendment"). Pursuant to the KP415 Amendment, the Company and Commave agreed to modify the compensation terms of the KP415 License Agreement. Pursuant to the KP415 Amendment, Commave paid the Company $10.0 million in connection with the entry into the KP415 Amendment as a result of the regulatory approval of AZSTARYS in the United States which occurred on March 2, 2021. Commave also paid the Company $10.0 million following the receipt of the scheduling determination of the compound SDX by the U.S. Drug Enforcement Agency (the "DEA"), which occurred on May 7, 2021. In addition, the KP415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under the KP415 Amendment, Commave agreed to pay the Company quarterly, tiered royalty payments that are calculated from a base royalty rate percentage in the high single digits to the mid-twenties of net sales in the United States, subject to adjustment based on annual net sales,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KP415 Amendment, Commave and the Company also agreed to modify Commave’s right of first refusal ("ROFR") such that the Company’s product candidate, KP922, is no longer subject to Commave’ ROFR to acquire, license or commercialize any Additional Product Candidate. Commave’s ROFR shall only apply to any Additional Product Candidate which contains SDX, with such ROFR expiring upon the acceptance of an NDA for such Additional Product Candidate containing SDX.</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Commave also agreed to be responsible for and reimburse the Company for all of the development, commercialization and regulatory expenses incurred on the licensed products, subject to certain limitations as set forth in the KP415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accordance with the terms of the Company’s March 20, 2012 Termination Agreement with Aquestive Therapeutics (formerly known as MonoSol Rx, LLC), Aquestive Therapeutics has the right to receive an amount equal to 10% of any royalty or milestone payments made to the Company related to AZSTARYS, KP484, KP879 or KP1077 under the KP415 License Agreement.</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KP415 License Agreement is within the scope of ASC 606, as the transaction represents a contract with a customer where the participants function in a customer / vendor relationship and are not exposed equally to the risks and rewards of the activities contemplated under the KP415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KP415 License Agreement) which was allocated among the performance obligations based on their respective related stand-alone selling price.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of transaction. The Company determined that the intellectual property licensed under the KP415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KP415 License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KP415 License Agreement, Commave was granted an exclusive right to first negotiation whereby upon completion of a Phase 1 proof-of-concept study, the Company and Commave may negotiate the economic terms under which certain Additional Products may be included as a Product (both as defined in the KP415 License Agreement) under the KP415 License Agreement (the “Additional Product Option”). In addition to the Additional Product Option, Commave was also granted a ROFR to acquire, license and/or commercialize any of the Additional Product Candidates should they choose not to exercise the Additional Product Option. Should Commave choose to exercise the Additional Product Option on any Additional Product Candidates, Commave and the Company shall negotiate in good faith regarding the economic terms of such Additional Product Candidate. Further, should Commave exercise the ROFR on any Additional Product Candidate, the economic terms of the agreement shall be the same as those offered to the third-party. Under ASC 606 an option to acquire additional goods or services gives rise to a performance obligation if the option provides a material right to the customer. The Company concluded that the above-described Additional Product Option and ROFR do not constitute material rights to the customer as Commave would acquire the goods or services at a to be negotiated price, which the Company expects to approximate fair value and therefore Commave would not receive a material discount on these goods or services compared to market rates.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entitled to additional payments from Commave conditioned upon the achievement of specified regulatory milestones related to AZSTARYS and KP484 and the achievement of certain U.S. sales milestones. Further, Commave will pay the Company quarterly, tiered royalty payments ranging from a percentage in the high single digits to mid-twenties of Net Sales (as defined in the KP415 License Agreement) in the United States and a percentage in the low to mid-single digits of Net Sales in each country outside of the U.S., in each case subject to specified reductions under certain conditions as described in the KP415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Per the KP415 Amendment, the Company earned a regulatory milestone payment of $10.0 million following the FDA’s approval of the AZSTARYS NDA, in March 2021, as well as $10.0 million following the DEA's scheduling of SDX in May 2021. Since the FDA approved the NDA for AZSTARYS and the DEA scheduled SDX, the constraints were removed and revenue recognized. The associated revenue was allocated among the two performance obligations identified at contract inception. Since both performance obligations were satisfied as of the end of each respective quarter of 2021, the full $10.0 million for each milestone was recognized as revenue in the statements of operations for the first quarter and second quarter of 2021, respectively. In accordance with ASC 340-40,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recognized $1.0 million, respectively, of royalty costs due to payment to Aquestive related to the regulatory milestones earned and recorded it in the item titled royalty and direct contract acquisition costs in the unaudited condensed statements of operations for first and second quarter of 2021.</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recognized revenue under the KP415 License Agreement of $0.1 million and $0.2 million, respectively, primarily related to royalties. For the three and six months ended June 30, 2021, the Company recognized revenue under the KP415 License Agreement of $10.0 million and $20.0 million, respectively, primarily related to licensing and collaboration revenue as a result of regulatory milestones met during the periods. There was no deferred revenue related to this agreement as of June 30, 2022, or December 31,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Arrangements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enters into consulting arrangements with third 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Corium Consulting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was tasked by Commave to lead all commercialization activities for AZSTARYS under the KP415 License Agreement, as discussed above.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Corium Consulting Agreement, the Company was entitled to receive payments from Corium of up to $15.6 million, $13.6 million of which was earned in monthly installments through March 31, 2022 and paid in arrears. The remaining $2.0 million was conditioned upon the approval by the FDA of the NDA for Corium's product candidate, ADLARITY, which was approved by the FDA in the first quarter of 2022. Corium also agreed to be responsible for and reimburse the Company for all development, commercialization and regulatory expenses incurred as part of the performance of the Corium Consulting Services.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Using the concepts of ASC 606,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is constrained by considering both the likelihood and magnitude of the potential revenue reversal.</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March 31, 2022, the Company had recognized approximately all of the consulting services and third-party pass-through costs under the Corium Consulting Agreement.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2021, the Company recognized revenue under the Corium Consulting Agreement of $1.6 million, and no revenue was recognized under the Corium Consulting Agreement for the three months ended June 30, 2022. For the six months ended June 30, 2022, and 2021, the Company recognized revenue under the Corium Consulting Agreement of $3.9 million, which included the $2.0 million milestone payment discussed above, and $3.2 million, respectively. As of June 30, 2022, the Company had no deferred revenue related to this agreement. As of December 31, 2021, the Company had deferred revenue related to this agreement of $0.4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Consulting Arrangements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recognized revenue under other consulting arrangements of $0.3 million and $0.3 million, respectively. For the six months ended June 30, 2022, and 2021, the Company recognized revenue under other consulting arrangements of $0.3 million and $0.8 million, respectively. There was deferred revenue from other consulting arrangements as of June 30, 2022, of less than $0.1 million, and no deferred revenue from other consulting arrangements as of December 31,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Arimoclomol Early Access Program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fulfilling its performance obligation under the Arimoclomol Early Access Program ("Arimoclomol EAP") by transferring control of promised goods or services to its customer, in an amount that reflects the consideration that the entity expects to receive in exchange for those goods or services. Revenue is recognized net of sales deductions, including discounts, rebates, applicable distributor fees, and revenue-based taxes. The Company recognizes revenue in accordance with 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Net revenue comprises revenue from the sale of arimoclomol for the treatment of Niemann-Pick Disease Type C ("NPC") under the remunerated early access compassionate use program (“nATU”) in France. An early access compassionate use program is a program giving specific patients access to a drug, which is not yet approved for commercial sale.</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Only drugs targeting serious or rare indications and for which there is currently no appropriate treatment are considered for early access compassionate use programs. Further, to be considered for the early access compassionate use program, the drug must have proven efficacy and safety and must either be undergoing price negotiations or seeking marketing approval.</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 is recognized when the drug products are sold to the customer, i.e., at the time when control over the drug product is transferred to the third-party customer. Under the French nATU, the manufacturer can set its own price for the drug products until a price agreement with the authorities is in place. Any excess in the price charged by the manufacturer compared to the price agreed with the health authorities once the drug product is approved in France must be repaid. The repayment is considered in the clawback liability.</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All sales and distributions of arimoclomol are included in the service agreement with Clinigen Health Limited, who keep goods on a consignment stock until it is transferred to the third-party customer (early access patient sites).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estimate of net revenue and clawback liability are recognized using the ‘expected value’ method.</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for net revenue and clawback liability requires determination of the most appropriate method for the expected final transaction price, which depends on the terms and conditions in the contracts with the French Health Authorities, and is subject to price negotiations with the French Health Authorities, following a market approval. This estimate also requires assumptions with respect to inputs into the method, including current pricing of comparable marketed products within the rare disease area in France. Management has considered the expected final sales price as well as the price of similar drug products.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Management has based their initial sales prices on comparable drug products for arimoclomol, and the estimate of the clawback liability on the basis of the average cost of treatment which the authorities are expected to cover.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estimate for clawback liability, management applied relevant available market data. Management’s assumptions are based on available relevant market information regarding average treatment cost of the most comparable drugs possible in the rare disease area in Europe.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revenues from product sales when there is a transfer of control of the product from the Company to the customer. The Company typically determines transfer of control based on when the product is shipped or delivered and title passes to the customer.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For the three and six months ended June 30, 2022, the Company recognized revenue related to the Arimoclomol EAP in France of $0.9 million, which is net of a clawback liability of $0.5 million during the same periods.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part of the Arimoclomol Purchase Agreement the Company assumed an estimated reserve liability of $5.2 million related to revenue generated from the Arimoclomol EAP in France. The total estimate reserve liability as of June 30, 2022, including the additional clawback liability for the three months ended June 30, 2022, was $5.7 million. As of June 30, 2022, this estimated reserve liability is recorded as discount and rebate liabilities in the unaudited condensed consolidated balance sheet and is separated into current and long-term based upon the timing of the expected payment to the French regulators.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and other receivables consist of receivables under the KP415 License Agreement and Arimoclomol EAP, as well as receivables related to consulting arrangements, income tax receivables and other receivables due to the Company. Receivables under the KP415 License Agreement are recorded for amounts due to the Company related to reimbursable third-party costs and royalties on product sales. Receivables under the Arimoclomol EAP are recorded for product sales under the program in France. These receivables, as well as the receivables related to consulting arrangements, are evaluated to determine if any reserve or allowance should be established at each reporting date. As of June 30, 2022, the Company had receivables related to the Arimoclomol EAP of $1.4 million, KP415 License Agreement of $0.1 million, consulting arrangements of $0.3 million, income tax receivables of $0.7 million and other receivables of $0.3 million. As of December 31, 2021, the Company had receivables related to the Corium Consulting Agreement of $1.2 million, KP415 License Agreement of $0.1 million, income tax receivables of $0.1 million and other consulting arrangements of $0.1 million. As of June 30, 2022, and December 31, 2021, no reserve or allowance for doubtful accounts has been established.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Standards—Adopted</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(Subtopic 815-40); Accounting for Convertible Instruments and Contracts in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(“ASU 2020-06”),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2020-06 did not have a material impact on the Company’s unaudited condensed financial statements and disclosures.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 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Compensation—Stock Compensation (Topic 718), and Derivatives and Hedging— Contracts in Entity’s Own Equity (Subtopic 815-40); Issuer’s Accounting for Certain Modifications or Exchanges of Freestanding Equity-Classified Written Call Options, a consensus of the FASB Emerging Issues Task Force </w:t>
      </w:r>
      <w:r>
        <w:rPr>
          <w:rFonts w:ascii="Times New Roman" w:cs="Times New Roman" w:eastAsia="Times New Roman" w:hAnsi="Times New Roman"/>
          <w:sz w:val="18"/>
          <w:szCs w:val="18"/>
          <w:color w:val="auto"/>
        </w:rPr>
        <w:t>(“ASU 2021-04”), which aims to clarify and reduce diversity in issuer's accounting for modifications or exchanges of freestanding equity-classified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2021-04 did not have a material impact on the Company’s unaudited condensed financial statements and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no convertible notes outstanding.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Deerfield Facility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 Deerfield was able to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December 2020, the conversion price became $93.60.</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Deerfield Convertible Note originally bore interest at 9.75% per annum but was subsequently reduced to 6.75%. Interest accrued on the outstanding balance under the Deerfield Convertible Note was due quarterly in arrears. The Company originally had to repay one-third of the outstanding principal amount of the Deerfield Convertible Note on the fourth and fifth anniversaries of the Deerfield Facility Agreement ( June 2018 and June 2019). In June 2018, Deerfield agreed to convert approximately $3.3 million of the principal amount then due, plus approximately $0.2 million of accrued interest, into 37,410 shares of our common stock (as discussed below in the section entitled “Facility Agreement Waiver and Fifth Amendment to Senior Secured Convertible Note”). In September 2019,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(as discussed below in the section entitled “2021 Note Exchange Effected in September 2019”). In December 2019, the Company entered into another amendment with Deerfield in order to</w:t>
      </w:r>
    </w:p>
    <w:p>
      <w:pPr>
        <w:spacing w:after="0" w:line="5" w:lineRule="exact"/>
        <w:rPr>
          <w:sz w:val="20"/>
          <w:szCs w:val="20"/>
          <w:color w:val="auto"/>
        </w:rPr>
      </w:pPr>
    </w:p>
    <w:p>
      <w:pPr>
        <w:jc w:val="both"/>
        <w:ind w:firstLine="7"/>
        <w:spacing w:after="0" w:line="252" w:lineRule="auto"/>
        <w:tabs>
          <w:tab w:leader="none" w:pos="2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the Loan payments due pursuant to the Deerfield Facility Agreement until March 31, 2021, and (ii) allow for the entries of additional debt and debt holders under the Deerfield Facility Agreement (as discussed below in the section entitled “2021 Note Exchange Effected in December 2019”). The Company was also obligated to repay principal of the Deerfield Convertible Note in the amount of approximately $7.0 million plus any capitalized interest to date on March 31, 2021. Prepayment of the outstanding balance was not allowed without written consent of Deerfield.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Deerfield Facility Agreement, the Company issued to Deerfield a warrant to purchase 14,423,076 shares of Series D Preferred at an initial exercise price of $0.78 per share, which is exercisable until June 2, 2024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December 2020, the shares issuable upon conversion of the warrant became 120,192 shares of common stock, and the exercise price of the Deerfield Warrant became $93.60 per share, which in January 2021 and June 2021 was further adjusted to $46.25 and $38.34 per share, respectively, in connection with the Company entering into the January 2021 and June 2021 Inducement Transactions (as defined in Note F) each of which triggered the anti-dilution provisions of the Deerfield Warrant. This warrant qualifies as a participating security under ASC Topic 260, Earnings per Share, and is treated as such in the net loss per share calculation (Note I). If a Major Transaction occurs (as defined in the Deerfield Facility Agreement) Deerfield may require the Company to redeem the Deerfield Warrant for a cash amount equal to the Black-Scholes value of the portion of the Deerfield Warrant to be redeemed (the “Warrant Put Option”).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statements of operations. In the first quarter of 2021, the debt was extinguished, through a series of debt payments and a conversion of debt principal and interest to Series B-2 Preferred Stock. As a result of the debt extinguishment, the associated discount and debt issuance costs were written off and recorded as a loss on extinguishment.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Deerfield Facility Agreement, the Company was not able to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had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Issuance of </w:t>
      </w:r>
      <w:r>
        <w:rPr>
          <w:rFonts w:ascii="Times New Roman" w:cs="Times New Roman" w:eastAsia="Times New Roman" w:hAnsi="Times New Roman"/>
          <w:sz w:val="18"/>
          <w:szCs w:val="18"/>
          <w:b w:val="1"/>
          <w:bCs w:val="1"/>
          <w:color w:val="auto"/>
        </w:rPr>
        <w:t>5.50%</w:t>
      </w:r>
      <w:r>
        <w:rPr>
          <w:rFonts w:ascii="Times New Roman" w:cs="Times New Roman" w:eastAsia="Times New Roman" w:hAnsi="Times New Roman"/>
          <w:sz w:val="18"/>
          <w:szCs w:val="18"/>
          <w:b w:val="1"/>
          <w:bCs w:val="1"/>
          <w:i w:val="1"/>
          <w:iCs w:val="1"/>
          <w:color w:val="auto"/>
        </w:rPr>
        <w:t xml:space="preserve"> Senior Convertible Notes and Third Amendment to Senior Secured Convertible Note and Warrant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February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2021 Notes were issued pursuant to an indenture, dated as of February 9, 2016 (the “Indenture”), between the Company and U.S. Bank National Association, as trustee (the “Trustee”). Interest on the 2021 Notes was payable semi-annually in cash in arrears on February 1 and August 1 of each year, beginning on August 1, 2016, at a rate of 5.50% per year. The 2021 Notes had an original maturity of February 1, 2021 unless earlier converted or repurchased.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2021 Notes were not redeemable prior to the maturity date, and no sinking fund was provided for the 2021 Notes. The 2021 Notes were convertible at an initial conversion rate of 58.4454 shares of the Company’s common stock per $1,000 principal amount of the 2021 Notes, subject to adjustment under the Indenture, which is equal to an initial conversion price of approximately $17.11 per share of common stock. After giving effect to the Reverse Stock Split effected in December 2020, the conversion rate of the 2021 Notes would have been approximately 3.6528 shares of the Company’s common stock per $1,000 principal amount of the 2021 Notes, which is equal to a conversion price of approximately $273.76 per share.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the Company underwent a “fundamental change” (as defined in the Indenture), holders could have required that the Company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Indenture included customary terms and covenants, including certain events of default after which the 2021 Notes may have become due and payable immediately.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described in more detail below, in multiple exchanges occurring in December 2019 and January 2020, all outstanding 2021 Notes were exchanged by the holders thereof for either shares of our common stock or senior secured convertible promissory notes issued under the terms of the Deerfield Facility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Note Exchange Effected in December 2019</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2019, the Company entered into the December 2019 Exchange Agreement and Amendment to Facility Agreement, Senior Secured Convertible Notes and Warrants (the “December 2019 Exchange Agreement”) with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approximately $71.4 million (the “December 2019 Notes”), in exchange for the cancellation of an aggregate of approximately $71.4 million principal amount and accrued interest of the Company’s 2021 Notes. Upon entering into the December 2019 Exchange Agreement, the Company agreed to pay the December 2019 Holders, in the aggregate, an interest payment of approximately $0.7 million which represents 50% of the accrued interest, as of December 18, 2019, on the 2021 Notes owned by the December 2019 Holders. The remainder of such interest was included in the principal amount of the December 2019 Notes.</w:t>
      </w:r>
    </w:p>
    <w:p>
      <w:pPr>
        <w:spacing w:after="0" w:line="200" w:lineRule="exact"/>
        <w:rPr>
          <w:sz w:val="20"/>
          <w:szCs w:val="20"/>
          <w:color w:val="auto"/>
        </w:rPr>
      </w:pP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December 2019 Notes bore interest at 6.75% per annum. The December 2019 Notes were convertible into shares of the Company’s common stock at an initial conversion price of $17.11 per share (which represented the conversion price of the 2021 Notes), subject to adjustment in accordance with the terms of the December 2019 Notes. After giving effect to the Reverse Stock Split effected in December 2020, the conversion price of the December 2019 Notes would have been $273.76 per share. The Company subsequently amended the December 2019 Notes to provide that such notes would have been convertible into shares of the Company’s common stock at a conversion price of $93.60 per share (which represented the conversion price of the Deerfield Convertible Note). The conversion price of the December 2019 Notes would have been adjusted downward if the Company issued or sold any shares of common stock, convertible securities, warrants or options at a sale or exercise price per share less than the greater of the December 2019 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effected an “at the market offering” as defined in Rule 415 of the Securities Act, of its common stock, the conversion price of the December 2019 Notes would have been adjusted downward pursuant to this anti-dilution adjustment only if such sales were made at a price less than $93.60 per share, provided that this anti-dilution adjustment would not have applied to any sales made under (x) the 2020 ELOC Agreement, (y) the ATM Agreement, or (z) the September 2019 Exchange Agreement (as amended). Notwithstanding anything to the contrary in the December 2019 Notes, the anti-dilution adjustment of such notes would not have resulted in the conversion price of the December 2019 Notes being less than $9.328 per share. The December 2019 Notes were convertible at any time at the option of the holders thereof, provided that a holder of a December 2019 Note was prohibited from converting such note into shares of the Company’s common stock if, as a result of such conversion, such holder (together with certain affiliates and “group” members) would have beneficially owned more than 4.985% of the total number of shares of common stock then issued and outstanding. However, the December 2019 Note issued to DSC, due to the fact DSC was a beneficial owner of more than 4.985% of the total number of shares of the Company’s common stock then issued and outstanding, had a beneficial ownership cap equal to 19.985% of the total number of shares of the Company’s common stock then issued and outstanding. Pursuant to the December 2019 Notes, the December 2019 Holders had the option to demand repayment of all outstanding principal, and any unpaid interest accrued thereon, in connection with a Major Transaction (as defined in the December 2019 Notes), which included, among others, any acquisition or other change of control of the Company; a liquidation, bankruptcy or other dissolution of the Company; or if at any time after March 31, 2021, shares of the Company’s common stock are not listed on an Eligible Market (as defined in the December 2019 Notes). The December 2019 Notes were subject to specified events of default, the occurrence of which would have entitled the December 2019 Holders to immediately demand repayment of all outstanding principal and accrued interest on the December 2019 Notes. Such events of default included, among others, failure to make any payment under the December 2019 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December 2019 Notes or the Deerfield Convertible Note.</w:t>
      </w: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December 2019 Exchange Agreement amended the Deerfield Facility Agreement in order to, among other things, (i) provide for the Deerfield Facility Agreement to govern the December 2019 Notes received by the December 2019 Holders pursuant to the December 2019 Exchange Agreement, (ii) extend the maturity of the Deerfield Convertible Note from February 14, 2020 and June 1, 2020, as applicable, to March 31, 2021, (iii) defer interest payments on the Deerfield Convertible Note until March 31, 2021 (which such interest shall accrue as “payment-in-kind” interest), (iv) designate DSC as a Lender under (and as defined in the Deerfield Facility Agreement), (v) name Deerfield as the “Collateral Agent” for all Lenders and (vi) modify the terms and conditions under which the Company may issue additional pari passu and subordinated indebtedness under the Deerfield Facility Agreement (subject to certain conditions specified in the Deerfield Facility Agreement).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December 2019 Exchange Agreement also amended and restated the Deerfield Convertible Note to conform the definitions of “Eligible Market” and “Major Transactions” to the definition in the December 2019 Notes, to remove provisions that were only applicable prior to the Company’s initial public offering and to make certain other changes to conform to the December 2019 Notes. The conversion price for the Deerfield Convertible Note remained $93.60 per share, subject to adjustment on the same basis as the December 2019 Notes.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December 2019 Exchange Agreement also amended the Deerfield Warrant to conform the definitions of “Eligible Market” and “Major Transaction” in the Deerfield Warrant with the definitions of such terms in the December 2019 Notes.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December 2019 Exchange Agreement contained customary representations, warranties and covenants made by the Company and the December 2019 Holders, including a covenant of the Company to, upon request, use commercially reasonable efforts to use its technology to discover a product based upon a compound that may be identified by the Deerfield Lenders in a manner that is reasonably acceptable to the Deerfield Lenders, or one of their affiliates, with the terms of such discovery plan, including the Company’s compensation thereunder, to be mutually agreed to by the parties.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entering into the December 2019 Exchange Agreement, on December 18, 2019, the Company amended and restated that certain Guaranty and Security Agreement, dated June 2, 2014, by and between the Company and the other parties thereto (the “GSA”) to, among other things,</w:t>
      </w:r>
    </w:p>
    <w:p>
      <w:pPr>
        <w:ind w:right="20" w:firstLine="7"/>
        <w:spacing w:after="0" w:line="258" w:lineRule="auto"/>
        <w:tabs>
          <w:tab w:leader="none" w:pos="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of the notes will be secured by the liens securing the indebtedness under the Deerfield Facility Agreement, and (ii) name Deerfield as the “Collateral Agent” under the GSA.</w:t>
      </w:r>
    </w:p>
    <w:p>
      <w:pPr>
        <w:sectPr>
          <w:pgSz w:w="11900" w:h="16838" w:orient="portrait"/>
          <w:cols w:equalWidth="0" w:num="1">
            <w:col w:w="11240"/>
          </w:cols>
          <w:pgMar w:left="320" w:top="121" w:right="339" w:bottom="65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654"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entering into the December 2019 Exchange Agreement, the Company also entered into an amendment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 (ii) amend the common stock exchange price under the September 2019 Exchange Agreement to be a per share price equal to the greater of (x) $0.60, subject to adjustment to reflect stock splits and similar events, or (y) the average of the volume-weighted average prices of the Company’s common stock on each of the 15 trading days immediately preceding such exchange, (iii) provide that no more than 28,439,015 of shares of the Company’s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 These changes in the September 2019 Exchange Agreement Amendment significantly modified the Optional Exchange Principal Amount, as such after giving effect to the September Exchange Agreement Amendment the Optional Exchange Principal Amount ceases to exist the new optional exchanges are referred to as the Deerfield Optional Conversion Feature. After giving effect to the Reverse Stock Split effected in December 2020, the exchange price of the Deerfield Optional Conversion Feature would have been $9.60 per share or the average of the volume-weighted average price of the common stock on the principal securities exchange or trading market on which the common stock is then trading on each of the 15 trading days immediately preceding such exchange and the shares of the Company’s common stock issued pursuant to the optional exchanges would have been 1,777,437 shares of common stock.</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entering into the September 2019 Amendment, the Company filed an amendment to the Series B-2 Certificate of Designation (the “Series B-2 Certificate of Designation Amendment”) with the Secretary of State of the State Delaware. The Series B-2 Certificate of Designation Amendment provides that each share of the Company’s Series B-2 preferred stock is convertible into shares of the Company’s common stock at a per share price equal to the common stock exchange price under the September 2019 Exchange Agreement, which equals the greater of (i) $9.60 (subject to adjustment to reflect stock splits and similar events), or (ii) the average of the volume-weighted average prices of the Company’s common stock on each of the 15 trading days immediately preceding such exchange.</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September 30, 2020, the Deerfield Lenders had converted all $17.1 million of principal under the December 2019 Notes into all 1,777,437 shares of common stock available under the Deerfield Optional Conversion Feature.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the changes to the Deerfield Convertible Note met the definition of a troubled debt restructuring under ASC 470-60, Troubled Debt Restructurings by Debtors, as the Company was experiencing financial difficulties and Deerfield granted a concession. The amendments to the terms of the Deerfield Convertible Note resulted in no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changes to the 2021 Notes, under the December 2019 Exchange Agreement, referred to after as the December 2019 Notes, were accounted for as a debt modification, prospectively, the December 2019 Notes will be carried net of the associated discount and debt issuance costs which will be amortized and recorded as interest expense using a modified effective interest rate based on the amendments.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Note Exchange Effected in January 2020</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2020, the Company entered into the January 2020 Exchange Agreement (the “January 2020 Exchange Agreement”) with M. Kingdon Offshore Master Fund, LP (“Kingdon”). Under the January 2020 Exchange Agreement, the Company issued a senior secured convertible note in the aggregate principal amount of approximately $3.0 million (the “January 2020 Note”) in exchange for the cancellation of an aggregate of $3.0 million principal amount and accrued interest of the 2021 Note then owned by Kingdon. Upon entering into the January 2020 Exchange Agreement, the Company agreed to pay Kingdon an interest payment of approximately $37,000, which represents 50% of the accrued and unpaid interest, as of January 13, 2020, on Kingdon’s 2021 Note. The remainder of such interest was included in the principal amount of the January 2020 Note.</w:t>
      </w:r>
    </w:p>
    <w:p>
      <w:pPr>
        <w:spacing w:after="0" w:line="1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January 2020 Note was issued with substantially the same terms and conditions as the December 2019 Notes (as amended by the amendment described in more detail below).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entering into the January 2020 Exchange Agreement, the Company entered into an Amendment to Facility Agreement and December 2019 Notes and Consent (the “December 2019 Note Amendment”) with the December 2019 Holders that, among other things, (i) amended the December 2019 Notes to (a) reduce the Conversion Price (as defined in the December 2019 Notes) from $17.11 to $5.85 per share and (b) increased the Floor Price (as defined in the December 2019 Notes) from $0.38 to $0.583 per share, and (ii) amended the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December 2020, the Conversion Price became $93.60 per share and the Floor Price became $9.328 per share.</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changes to the 2021 Note, under the January 2020 Exchange Agreement, referred to after as the January 2020 Note, were accounted for as a debt modification, prospectively, the January 2020 Note will be carried net of the associated discount and debt issuance costs which will be amortized and recorded as interest expense using a modified effective interest rate based on the amendments.</w:t>
      </w:r>
    </w:p>
    <w:p>
      <w:pPr>
        <w:sectPr>
          <w:pgSz w:w="11900" w:h="16838" w:orient="portrait"/>
          <w:cols w:equalWidth="0" w:num="1">
            <w:col w:w="11240"/>
          </w:cols>
          <w:pgMar w:left="320" w:top="121"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2020 Exchange Agreement and Amendment to Facility Agreement, Notes and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December 2020 Exchange Agreement and Amendment to Facility Agreement, Notes and Investors’ Rights Agreement, as amended (the “December 2020 Exchange Agreement”) with the Deerfield Lenders, DSC and Kingdon (collectively, the “Facility Agreement Note Holders”). Under the December 2020 Exchange Agreement, the Company and the Facility Agreement Note Holders agreed that (a) the Company will make a cash pre-payment of a portion of principal amount of the Deerfield Convertible Note, the December 2019 Notes and the January 2020 Note (collectively, the “Facility Agreement Notes”) to the Facility Agreement Note Holders (the “Debt Payment”) equal to approximately $30.3 million, plus accrued interest if such payment is made on or after January 1, 2021, and (b) subject to the satisfaction or waiver of certain conditions specified in the December 2020 Exchange Agreement, including the making of the Debt Payment, issue shares of its Series B-2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Q4 PIK Interest Payment (as defined in the December 2020 Exchange Agreement) (such transaction, the “December 2020 Exchange”).</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December 2020 Exchange Agreement amended the Facility Agreement Notes to provide that the failure of the Company’s common stock to remain listed on an eligible securities market will not constitute a “Major Transaction” unless such failure occurs after March 31, 2023.</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specified in the December 2020 Exchange Agreement, including the making of the Debt Payment and the consummation of the exchange, the December 2020 Exchange Agreement amended that certain Facility Agreement dated as of June 2, 2014, as amended (the “Facility Agreement”), by and among the Company and the Facility Agreement Note Holders in order to, among other things, (i) extend the maturity date of the Facility Agreement Notes to March 31, 2023, (ii) provide for cash payments of interest on the Loans (as defined in the Facility Agreement) for the periods following July 1, 2021, and (iii) provide for specified prepayment terms on the Loans.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December 2020 Exchange Agreement amended that certain Amended and Restated Investors’ Rights Agreement, dated as of February 19, 2015 (the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December 2020 Exchange Agreement (as described in more detail below).</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Exchange Warrants issued pursuant to the December 2020 Exchange Agreement were exercisable for a number of shares of the Company’s common stock equal to 75% of the shares of common stock issuable upon conversion of the Series B-2 Preferred Stock issued in the Exchange (without regard for any beneficial ownership limitations included therein). The Exercise Warrants were subject to substantially the same terms and conditions as the warrants issued to the public in the public offering of the Company’s securities contemplated pursuant to a registration statement on Form S-1 (File No. 333-250945) (the “Public Offering”), with an exercise price equal to the exercise price per share of the warrants issued in the Public Offering and provided that the Facility Agreement Note Holders will be limited from exercising such Exchange Warrants if, as a result of such exercise, such holders (together with certain affiliates and “group” members of such holders) would beneficially own more than 4.985% of the total number of shares of the Company’s common stock then issued and outstanding.</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anticipation of the Public Offering,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 The total outstanding principal and accrued interest under the Facility Notes was $69.4 million as of December 31,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December 2020 Exchange Agreement, the Company, on January 12, 2021, in connection with the closing of the Public Offering:</w:t>
      </w:r>
    </w:p>
    <w:p>
      <w:pPr>
        <w:spacing w:after="0" w:line="223" w:lineRule="exact"/>
        <w:rPr>
          <w:sz w:val="20"/>
          <w:szCs w:val="20"/>
          <w:color w:val="auto"/>
        </w:rPr>
      </w:pPr>
    </w:p>
    <w:p>
      <w:pPr>
        <w:ind w:left="460" w:right="240" w:hanging="224"/>
        <w:spacing w:after="0" w:line="183" w:lineRule="auto"/>
        <w:tabs>
          <w:tab w:leader="none" w:pos="460" w:val="left"/>
        </w:tabs>
        <w:numPr>
          <w:ilvl w:val="0"/>
          <w:numId w:val="1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197" w:lineRule="exact"/>
        <w:rPr>
          <w:rFonts w:ascii="Times New Roman" w:cs="Times New Roman" w:eastAsia="Times New Roman" w:hAnsi="Times New Roman"/>
          <w:sz w:val="34"/>
          <w:szCs w:val="34"/>
          <w:color w:val="auto"/>
          <w:vertAlign w:val="subscript"/>
        </w:rPr>
      </w:pPr>
    </w:p>
    <w:p>
      <w:pPr>
        <w:ind w:left="460" w:right="520" w:hanging="224"/>
        <w:spacing w:after="0" w:line="183" w:lineRule="auto"/>
        <w:tabs>
          <w:tab w:leader="none" w:pos="460" w:val="left"/>
        </w:tabs>
        <w:numPr>
          <w:ilvl w:val="0"/>
          <w:numId w:val="1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Made a payment of $30.3 million (the "Debt Payment"), in partial repayment of the remaining outstanding principal and accrued interest of the Facility Notes.</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77" w:lineRule="exact"/>
        <w:rPr>
          <w:sz w:val="20"/>
          <w:szCs w:val="20"/>
          <w:color w:val="auto"/>
        </w:rPr>
      </w:pP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changed to March 31, 2023, and the debt was prepayable upon specified conditions, and</w:t>
      </w:r>
    </w:p>
    <w:p>
      <w:pPr>
        <w:spacing w:after="0" w:line="222" w:lineRule="exact"/>
        <w:rPr>
          <w:rFonts w:ascii="Times New Roman" w:cs="Times New Roman" w:eastAsia="Times New Roman" w:hAnsi="Times New Roman"/>
          <w:sz w:val="18"/>
          <w:szCs w:val="18"/>
          <w:color w:val="auto"/>
        </w:rPr>
      </w:pPr>
    </w:p>
    <w:p>
      <w:pPr>
        <w:ind w:left="460" w:right="80" w:hanging="224"/>
        <w:spacing w:after="0" w:line="183" w:lineRule="auto"/>
        <w:tabs>
          <w:tab w:leader="none" w:pos="460" w:val="left"/>
        </w:tabs>
        <w:numPr>
          <w:ilvl w:val="0"/>
          <w:numId w:val="1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Interest would accrue at the rate of 6.75% per annum, payable quarterly, would be added to principal until June 30, 2021, and then be payable in cash thereafter.</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changes to the Facility Notes, under the December 2020 Exchange Agreement, were accounted for as a debt extinguishment as the cash flows immediately after the December 2020 Exchange Agreement were substantially different from the cash flows immediately prior to the December 2020 Exchange Agreement and while the Company was experiencing financial difficulties it was determined that the lender did not grant a concession. As such, a loss of extinguishment related to the extinguishment of the old notes was recorded in the unaudited condensed statement of operations for the three months ended March 31, 2021, and additional debt issuance costs related the new notes were capitalized and amortized using the effective interest method through the Payoff of Facility Agreement Notes (discussed below).</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transactions contemplated under the December 2020 Exchange Agreement, including the obligation to pre-pay any portion of the Facility Agreement Notes or to complete the Exchange and the effectiveness of the amendments to the Facility Agreement, the Notes and the IRA, were subject to specified conditions of closing, including certain closing of the Public Offering, the filing of the Restated Series B-2 Certificate of Designation (as defined below) and the approval for listing of the Company’s common stock, including the shares issuable upon conversion of the Series B-2 Preferred Stock and exercise of the Exchange Warrants, on the Nasdaq Capital Market.</w:t>
      </w:r>
    </w:p>
    <w:p>
      <w:pPr>
        <w:sectPr>
          <w:pgSz w:w="11900" w:h="16838" w:orient="portrait"/>
          <w:cols w:equalWidth="0" w:num="1">
            <w:col w:w="11240"/>
          </w:cols>
          <w:pgMar w:left="320" w:top="121" w:right="339" w:bottom="224"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22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condition to closing of the December 2020 Exchange Agreement, the Company filed an Amended and Restated Certificate of Designation of Preferences, Rights and Limitations of Series B-2 Convertible Preferred Stock (the “Restated Series B-2 Certificate of Designation”) with the Secretary of State of the State Delaware, setting forth the preferences, rights and limitations of the Series B-2 Preferred Stock.</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Each share of Series B-2 Preferred Stock had an aggregate stated value of $1,000 and was convertible into shares of the Company’s common stock at a per share price equal to the price per share to the public of the Company’s common stock in the Public Offering (subject to adjustment to reflect stock splits and similar events).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Series B-2 Preferred Stock was convertible at any time on or after the PDUFA Date (as defined in the Restated Series B-2 Certificate of Designation) at the option of the holders thereof; provided that the holders thereof will be prohibited from converting shares of Series B-2 Preferred Stock into shares of the Company’s common stock if, as a result of such conversion, such holders (together with certain affiliates and “group” members of such Holders) would beneficially own more than 4.985% of the total number of shares of the Company’s common stock then issued and outstanding. The Series B-2 Preferred Stock is not redeemable. In the event of the Company’s liquidation, dissolution or winding up or a change in control of the Company (each, a “Liquidation Event”), the holders of Series B-2 Preferred Stock will receive, prior to any distribution or payment on our common stock, an amount equal to the greater of</w:t>
      </w:r>
    </w:p>
    <w:p>
      <w:pPr>
        <w:spacing w:after="0" w:line="4" w:lineRule="exact"/>
        <w:rPr>
          <w:sz w:val="20"/>
          <w:szCs w:val="20"/>
          <w:color w:val="auto"/>
        </w:rPr>
      </w:pPr>
    </w:p>
    <w:p>
      <w:pPr>
        <w:jc w:val="both"/>
        <w:ind w:firstLine="7"/>
        <w:spacing w:after="0" w:line="250" w:lineRule="auto"/>
        <w:tabs>
          <w:tab w:leader="none" w:pos="2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Liquidation Event, in each case, plus any declared but unpaid dividends thereon. With respect to rights upon liquidation, the Series B-2 Preferred Stock ranks senior to the common stock, on parity with any Parity Securities (as defined in the Restated Series B-2 Certificate of Designation) and junior to existing and future indebtedness. Except as otherwise required by law (or with respect to approval of certain actions involving the Company’s organizational documents that adversely affect the holders of Series B-2 Preferred Stock and other specified matters regarding the rights, preferences and privileges of the Series B-2 Preferred Stock), the Series B-2 Preferred Stock did not have voting rights. The Series B-2 Preferred Stock is not subject to any price-based anti-dilution protections and does not provide for any accruing dividends but provides that holders of Series B-2 Preferred Stock will participate in any dividends on the Company’s common stock on an as-converted basis (without giving effect to the limitation on conversion described above). The Restated Series B-2 Certificate of Designation also provides for partial liquidated damages in the event that the Company fails to timely convert shares of Series B-2 Preferred Stock into common stock in accordance with the Restated Series B-2 Certificate of Designation.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Payoff of Facility Agreement Notes and Termination of Facility Agreement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February 8, 2021, the Company entered into a payoff letter with the Facility Agreement Note Holders, pursuant to which the Company agreed to pay off and thereby terminate the Facility Agreement.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determined the payoff letter met the liability derecognition threshold under ASC 405-20, </w:t>
      </w:r>
      <w:r>
        <w:rPr>
          <w:rFonts w:ascii="Times New Roman" w:cs="Times New Roman" w:eastAsia="Times New Roman" w:hAnsi="Times New Roman"/>
          <w:sz w:val="18"/>
          <w:szCs w:val="18"/>
          <w:i w:val="1"/>
          <w:iCs w:val="1"/>
          <w:color w:val="auto"/>
        </w:rPr>
        <w:t>Liabilities - Extinguishment of Liabilities</w:t>
      </w:r>
      <w:r>
        <w:rPr>
          <w:rFonts w:ascii="Times New Roman" w:cs="Times New Roman" w:eastAsia="Times New Roman" w:hAnsi="Times New Roman"/>
          <w:sz w:val="18"/>
          <w:szCs w:val="18"/>
          <w:color w:val="auto"/>
        </w:rPr>
        <w:t>, as the Company repaid the debt (and has been relieved of the related obligation) without entering into new debt with the Facility Agreement Note Holders and there is no other continuing debt with the Facility Agreement Note Holders. The payoff letter resulted in a loss on extinguishment of debt which was shown within other (expense) income in the unaudited condensed statements of operations for the three months ended March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PPP Loan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April 23, 2020, the Company received proceeds of $0.8 million from the PPP Loan under the PPP of the CARES Act, a portion of which may be forgiven, which the Company used to retain current employees, maintain payroll and make lease and utility payments. In May 2021, the Company received notice from the U.S. Small Business Administration that the principal and interest due under its PPP Loan had been forgiven in full.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May 31, 2022, the Company and Ameris Bank, as lender, entered into a $20.0 million revolving loan agreement (the “Line of Credit”). Proceeds of the revolving facility provided by the Line of Credit are to be used for general corporate purposes. Loans under the Line of Credit bear interest at the Secured Overnight Financing Rate ("SOFR") plus 1.60%, with a SOFR floor of 0.00%.</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latest maturity date of the loans under the Line of Credit is May 31, 2025. The Line of Credit contains customary events of default that could lead to an acceleration of the loans, including cross-default, bankruptcy and payment defaults. As of June 30, 2022, the Company has drawn $12.8 million from the Line of Credit to finance the transactions under the Arimoclomol Purchase Agreement, and this amount is supported by a $12.8 million certificate of deposit which is shown as long-term investments in the unaudited condensed consolidated balance sheets. The remaining $7.2 million under the Line of Credit is in a separate interest-bearing certificate of deposit and is also recorded as long-term investments in the unaudited condensed consolidated balance sheet as of June 30, 2022. These certificates of deposit are pledged as collateral against the Line of Credit and cannot be redeemed so long as the $20.0 million remains available under the Line of Credit. The total value of the certificates of deposit held with Ameris Banks must meet or exceed the amount available to borrow under the Line of Credit so long as the Line of Credit remains active.</w:t>
      </w:r>
    </w:p>
    <w:p>
      <w:pPr>
        <w:sectPr>
          <w:pgSz w:w="11900" w:h="16838" w:orient="portrait"/>
          <w:cols w:equalWidth="0" w:num="1">
            <w:col w:w="11240"/>
          </w:cols>
          <w:pgMar w:left="320" w:top="121" w:right="339" w:bottom="654"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654"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June 30, 2022, and December 31, 2021, no accruals have been made related to commitments and contingencies.</w:t>
      </w:r>
    </w:p>
    <w:p>
      <w:pPr>
        <w:spacing w:after="0" w:line="200" w:lineRule="exact"/>
        <w:rPr>
          <w:sz w:val="20"/>
          <w:szCs w:val="20"/>
          <w:color w:val="auto"/>
        </w:rPr>
      </w:pPr>
    </w:p>
    <w:p>
      <w:pPr>
        <w:spacing w:after="0" w:line="219" w:lineRule="exact"/>
        <w:rPr>
          <w:sz w:val="20"/>
          <w:szCs w:val="20"/>
          <w:color w:val="auto"/>
        </w:rPr>
      </w:pPr>
    </w:p>
    <w:p>
      <w:pPr>
        <w:ind w:left="460" w:hanging="453"/>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 and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10,000,000 shares of authorized, unallocated and unissued preferred stock.</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2021, the Company filed with the Secretary of State of the State of Delaware: (i) a Certificate of Elimination of Series A Convertible Preferred Stock, eliminating from the Company’s Certificate of Incorporation the 9,578 shares designated as Series A Convertible Preferred Stock; (ii) a Certificate of Elimination of Series B-1 Convertible Preferred Stock, eliminating from the Company’s Certificate of Incorporation the 1,576 shares designated as Series B-1 Convertible Preferred Stock; and (iii) a Certificate of Elimination of Series B-2 Convertible Preferred Stock, eliminating from the Company’s Certificate of Incorporation the 31,480 shares designated as Series B-2 Convertible Preferred Stock. As of June 30, 2022, and December 31, 2021, no shares of preferred stock were designated, issued or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B-2 Preferred Stock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the December 2020 Exchange Agreement, on January 12, 2021, the Company issued to the Facility Note Holders an aggregate of 31,476.98412 shares of its Series B-2 Preferred Stock and warrants exercisable for an aggregate of 3,632,019 shares of the Company’s common stock (the “Exchange Warrants”).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Series B-2 Preferred Stock was convertible into an aggregate of 4,842,690 shares of the Company’s common stock upon issuance at a conversion price equal to $6.4999. No fractional shares of common stock will be issued in connection with the conversion of the Series B-2 Preferred Stock. Instead, for any such fractional share that would have otherwise been issued upon conversion of a share of Series B-2 Preferred Stock, the Company will round such fraction up to the next whole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Designation of Preferences, Rights and Limitations of the Series B-2 Convertible Preferred Stock</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11, 2021, as a condition to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Delaware, setting forth the preferences, rights and limitations of the Series B-2 Preferred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closing of the Public Offering, pursuant to the terms of the December 2020 Exchange Agreement, the Company:</w:t>
      </w:r>
    </w:p>
    <w:p>
      <w:pPr>
        <w:spacing w:after="0" w:line="223" w:lineRule="exact"/>
        <w:rPr>
          <w:sz w:val="20"/>
          <w:szCs w:val="20"/>
          <w:color w:val="auto"/>
        </w:rPr>
      </w:pPr>
    </w:p>
    <w:p>
      <w:pPr>
        <w:ind w:left="460" w:hanging="224"/>
        <w:spacing w:after="0" w:line="28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Exchanged approximately $31.5 million (the "Exchange") of the outstanding principal and accrued interest on the Facility Notes for (i) the Series B-2 Preferred Stock and (ii) the Exchange Warrants; and</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 payment of approximately $30.3 million (the “Debt Payment”) in partial repayment of the remaining outstanding principal and accrued interest on the Facility Notes.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the Exchange and related Debt Payment, the amendments to the Facility Agreement, the Notes and the Investors’ Rights Agreement, dated as of February 19, 2015, by and among the Company, Deerfield and the other parties signatory thereto, contemplated by the December 2020 Exchange Agreement that were conditional upon, among other things, the closing of the Public Offering, the filing of the Series B-2 Certificate of Designation and/or the approval for listing of the Company’s common stock, including the shares issuable upon conversion of the Series B-2 Preferred Stock and exercise of the Exchange Warrants, on the Nasdaq Capital Market, became effective on January 12,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all shares of Series B-2 Preferred Stock converted into 4,842,699 shares of common stock.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June 30, 2022, and December 31, 2021, the Company had authorized 250,000,000 shares of common stock. Of the authorized shares, 35,399,267 and 35,325,801 shares of common stock were issued as of June 30, 2022, and December 31, 2021, respectively, and 34,489,314 and 35,005,640 shares of common stock were outstanding as of June 30, 2022, and December 31, 2021,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reserved authorized shares of common stock for future issuance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awards under equity incentive plans</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2,529,569</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1,273,879</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4,252,600</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4,252,600</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Possible future issuances under equity incentive plans</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4,354,470</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4,209,935</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Possible future issuances under employee stock purchase plans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1,445,213</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1,500,000</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shares reserved for future issuance</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12,581,852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11,236,414</w:t>
            </w:r>
          </w:p>
        </w:tc>
        <w:tc>
          <w:tcPr>
            <w:tcW w:w="1120" w:type="dxa"/>
            <w:vAlign w:val="bottom"/>
          </w:tcPr>
          <w:p>
            <w:pPr>
              <w:spacing w:after="0"/>
              <w:rPr>
                <w:sz w:val="21"/>
                <w:szCs w:val="21"/>
                <w:color w:val="auto"/>
              </w:rPr>
            </w:pPr>
          </w:p>
        </w:tc>
      </w:tr>
      <w:tr>
        <w:trPr>
          <w:trHeight w:val="411"/>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0"/>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common stock activity for the six months ended June 30, 2022:</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7"/>
        </w:trPr>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11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35,005,640</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as compensation to third-parties</w:t>
            </w:r>
          </w:p>
        </w:tc>
        <w:tc>
          <w:tcPr>
            <w:tcW w:w="146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7,649</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8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repurchased as a result of the Stock Repurchase Plan</w:t>
            </w:r>
          </w:p>
        </w:tc>
        <w:tc>
          <w:tcPr>
            <w:tcW w:w="1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(589,792)</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34,423,497</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compensation to third-parties</w:t>
            </w:r>
          </w:p>
        </w:tc>
        <w:tc>
          <w:tcPr>
            <w:tcW w:w="1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11,030</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the Employee Stock Purchase Plan</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54,787</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34,489,314</w:t>
            </w:r>
          </w:p>
        </w:tc>
        <w:tc>
          <w:tcPr>
            <w:tcW w:w="1120" w:type="dxa"/>
            <w:vAlign w:val="bottom"/>
          </w:tcPr>
          <w:p>
            <w:pPr>
              <w:spacing w:after="0"/>
              <w:rPr>
                <w:sz w:val="21"/>
                <w:szCs w:val="21"/>
                <w:color w:val="auto"/>
              </w:rPr>
            </w:pPr>
          </w:p>
        </w:tc>
      </w:tr>
      <w:tr>
        <w:trPr>
          <w:trHeight w:val="411"/>
        </w:trPr>
        <w:tc>
          <w:tcPr>
            <w:tcW w:w="68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2, 2014, pursuant to the terms of the Deerfield Facility Agreement, the Company issued the Deerfield Warrant to purchase 14,423,076 shares of Series D Preferred (Note C). The Company recorded the fair value of the Deerfield Warrant as a debt discount and a warrant liability. The Deerfield Warrant, if unexercised, expires on the earlier of June 2, 2024,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December 2020, the exercise price of the Deerfield Warrant became $93.60 and the shares of the Company’s common stock issuable upon exercise of the Deerfield Warrant became 120,192 shares of common stock. As a result of the January 2021 Inducement Transaction (discussed below) the anti-dilution provisions within the Deerfield Warrant were triggered and the exercise price was reduced from $93.60 per share to $46.25 per share. In addition, as a result of the June 2021 Inducement Transaction (discussed below) the anti-dilution provision within the Deerfield Warrant were triggered and the exercise price was reduced from $46.25 per share to $38.34 per share. The Company amortized the debt discount over the term of the Deerfield Convertible Note and the expense was recorded as interest expense related to amortization of debt issuance costs and discount in the statements of operations. The Deerfield Convertible Note was extinguished in February 2021 and the remaining debt discount was written off and recognized as a loss on extinguishment of debt.</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unaudited condensed statements of operations as a fair value adjustment (Note H).</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APADAZ License Agreement, in October 2018, 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unaudited condensed statements of operations. Changes in the number of shares that are expected to be issued are treated as changes in variable consideration under ASC 606 and are recorded as a change in contract asset on the unaudited condensed balance sheets. As of June 30, 2022, and December 31, 2021, a contract asset of $0.4 million is recorded in other long-term assets on the unaudited condensed consolidated balance sheets related to the KVK Warrant.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2021,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The pre-funded warrants were exercisable, at the option of each holder, in whole or in part, by delivering to the Company a duly executed exercise notice accompanied by payment in full for the number of shares of common stock purchased upon such exercise. In lieu of making the cash payment otherwise contemplated to be made to the Company upon such exercise in payment of the aggregate exercise price, the holder was able to elect instead to receive upon such exercise (either in whole or in part) the net number of shares of common stock determined according to a formula set forth in the pre-funded warrants. In January 2021, all pre-funded warrants were exercised for 926,841 shares of common stock and gross proceeds of approximately $72.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12, 2021, pursuant to the terms of the Underwriting Agreement and December 2020 Exchange Agreement, the Company issued warrants to purchase 12,078,361 shares of the Company’s common stock (collectively, the “Offering Warrants”) in the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Offering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the Company’s outstanding common stock immediately after exercise. Except as otherwise provided in the Offering Warrants or by virtue of such holder’s ownership of shares of the Company’s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unaudited condensed balance sheets. As of June 30, 2022, 3,461,858 Offering Warrants have been exercised for 3,030,881 shares of common stock and gross proceeds of approximately $16.9 million. These amounts are exclusive of the Offering Warrants exercised as part of the January 2021 Inducement Transaction discussed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 Warrant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June 30, 2022, 400,000 Underwriter Warrants have been exercised for 400,000 shares of common stock and gross proceeds of approximately $3.3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2021 Warrant Exercise Inducement Letters and Issuance of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26, 2021, the Company entered into warrant exercise inducement offer letters ( “January 2021 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“January 2021 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January 2021 Inducement Warrants was $0.125 per share underlying each January 2021 Inducement Warrant, and the January 2021 Inducement Warrants have an exercise price of $6.36 per share. The Company received aggregate gross proceeds of approximately $44.0 million from the exercise of the Existing Warrants by the Exercising Holders and the sale of the January 2021 Inducement Warrants. The Company engaged Roth as its exclusive placement agent in connection with these transactions and paid Roth a fee equal to 6% of gross proceeds from the exercise of the Existing Warrants by the Exercising Holders and the sale of the January 2021 Inducement Warrants. As a result of this transaction the anti-dilution provisions contained with the Deerfield Warrant were triggered and the exercise price of the Deerfield Warrant was reduced from $93.60 per share to $46.25 per share.</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January 2021 Inducement Warrants were immediately exercisable and expire on the fifth anniversary of their issuance date, at an exercise price per share of common stock equal to $6.36 per share. The January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January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January 2021 Inducement Warrant to the extent that the holder and its affiliates and any other person or entities with which such holder would constitute a Section 13(d) “group” would own more than 4.99% (or, upon election by a holder prior to the issuance of its January 2021 Inducement Warrants, 9.99%) of the Company’s outstanding common stock immediately after exercise. Except as otherwise provided in the January 2021 Inducement Warrants or by virtue of such holder’s ownership of shares of the Company’s common stock, the holders of the January 2021 Inducement Warrants do not have the rights or privileges of holders of common stock with respect to the shares of common stock underlying the January 2021 Inducement Warrants, including any voting rights, until they exercise their January 2021 Inducement Warrants. The January 2021 Inducement Warrants provide that holders have the right to participate in distributions or dividends paid on the Company’s common stock. In the event of a fundamental transaction, as described in the January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January 2021 Inducement Warrants will be entitled to receive upon exercise of the January 2021 Inducement Warrants the kind and amount of securities, cash or other property that the holders would have received had they exercised the January 2021 Inducement Warrants immediately prior to such fundamental transaction. In addition, in the event of a fundamental transaction which is approved by the Company’s board of directors, the holders of the January 2021 Inducement Warrants have the right to require the Company or a successor entity to redeem the January 2021 Inducement Warrants for cash in the amount of the Black Scholes value of the unexercised portion of the January 2021 Inducement Warrants on the date of the consummation of the fundamental transaction. In the event of a fundamental transaction which is not approved by the Company’s board of directors, the holders of the January 2021 Inducement Warrants have the right to require the Company or a successor entity to redeem the January 2021 Inducement Warrants in the amount of the Black Scholes value of the unexercised portion of the January 2021 Inducement Warrants on the date of the consummation of the fundamental transaction payable in the form of consideration paid to the holders of common stock in such fundamental transaction. As of June 30, 2022, 1,676,921 January 2021 Inducement Warrants have been exercised for 1,676,921 shares of common stock and gross proceeds of approximately $10.7 million. These amounts are exclusive of the January 2021 Inducement Warrants exercised as part of the June 2021 Inducement Transaction discussed below.</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accordance with the January 2021 Inducement Transaction we recognized a deemed dividend of $37.4 million which is the difference between the grant date fair value of the January 2021 Inducement Warrants and the purchase price of the January 2021 Inducement Warrants. This deemed dividend is added to net loss to arrive at net loss attributable to common stockholders on the statements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2021 Warrant Exercise Inducement Letters and Issuance of Warrants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18, 2021, the Company entered into warrant exercise inducement offer letters ( “June 2021 Inducement Transaction”) with certain holders of warrants issued in the January 2021 Inducement Transaction discussed above (the "January 2021 Inducement Warrants") (collectively, the “June 2021 Exercising Holders”) pursuant to which such holders agreed to exercise for cash their January 2021 Inducement Warrants to purchase 6,117,509 shares of the Company’s common stock in exchange for the Company’s agreement to issue new warrants (the “June 2021 Inducement Warrants”) on substantially the same terms as the January 2021 Inducement Warrants, except as set forth in the following sentence, to purchase up to 1,529,379 shares of the Company’s common stock, which is equal to 25% of the number of shares of the Company’s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Company received aggregate gross proceeds of approximately $39.1 million from the exercise of the January 2021 Inducement Warrants by the June 2021 Exercising Holders and the sale of the June 2021 Inducement Warrants. The Company engaged Roth as its exclusive placement agent in connection with these transactions and paid Roth a fee equal to 6% of gross proceeds from the exercise of the January 2021 Inducement Warrants by the June 2021 Exercising Holders and the sale of the June 2021 Inducement Warrants. As a result of this transaction the anti-dilution provisions contained with the Deerfield Warrant were triggered and the exercise price of the Deerfield Warrant was reduced from $46.25 per share to $38.34 per share.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June 2021 Inducement Warrants were immediately exercisable and expire on December 31, 2026, at an exercise price per share of common stock equal to $16.50 per share. The June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June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June 2021 Inducement Warrant to the extent that the holder and its affiliates and any other person or entities with which such holder would constitute a Section 13(d) “group” would own more than 4.99% (or, upon election by a holder prior to the issuance of its June 2021 Inducement Warrants, 9.99%) of the Company’s outstanding common stock immediately after exercise. Except as otherwise provided in the June 2021 Inducement Warrants or by virtue of such holder’s ownership of shares of the Company’s common stock, the holders of the June 2021 Inducement Warrants do not have the rights or privileges of holders of common stock with respect to the shares of common stock underlying the June 2021 Inducement Warrants, including any voting rights, until they exercise their June 2021 Inducement Warrants. The June 2021 Inducement Warrants provide that holders have the right to participate in distributions or dividends paid on the Company’s common stock. In the event of a fundamental transaction, as described in the June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June 2021 Inducement Warrants will be entitled to receive upon exercise of the June 2021 Inducement Warrants the kind and amount of securities, cash or other property that the holders would have received had they exercised the June 2021 Inducement Warrants immediately prior to such fundamental transaction. In addition, in the event of a fundamental transaction which is approved by the Company’s board of directors, the holders of the June 2021 Inducement Warrants have the right to require the Company or a successor entity to redeem the June 2021 Inducement Warrants for cash in the amount of the Black Scholes value of the unexercised portion of the June 2021 Inducement Warrants on the date of the consummation of the fundamental transaction. In the event of a fundamental transaction which is not approved by the Company’s board of directors, the holders of the June 2021 Inducement Warrants have the right to require the Company or a successor entity to redeem the June 2021 Inducement Warrants in the amount of the Black Scholes value of the unexercised portion of the June 2021 Inducement Warrants on the date of the consummation of the fundamental transaction payable in the form of consideration paid to the holders of common stock in such fundamental transaction. As of June 30, 2022, no June 2021 Inducement Warrants have been exercised.</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accordance with the June 2021 Inducement Transaction we recognized a deemed dividend of $16.9 million which is the difference between the grant date fair value of the June 2021 Inducement Warrants and the purchase price of the June 2021 Inducement Warrants. This deemed dividend is added to net loss to arrive at net loss attributable to common stockholders on the unaudited condensed consolidated statements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Company maintains a stock-based compensation plan (the “Incentive Stock Plan”) that governs stock awards made to employees and directors prior to completion of the IPO.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2014, the Board of</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Directors of the Company ("the Board"), and in</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April 2015, the Company’s stockholders, approved the</w:t>
            </w:r>
          </w:p>
        </w:tc>
      </w:tr>
      <w:tr>
        <w:trPr>
          <w:trHeight w:val="215"/>
        </w:trPr>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Company’s 2014 Equity Incentive Plan (the “2014 Plan”), which became effective in</w:t>
            </w:r>
          </w:p>
        </w:tc>
        <w:tc>
          <w:tcPr>
            <w:tcW w:w="4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April 2015. The 2014 Plan provides for the grant of stock options,</w:t>
            </w:r>
          </w:p>
        </w:tc>
      </w:tr>
      <w:tr>
        <w:trPr>
          <w:trHeight w:val="215"/>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forms of equity compensation,</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performance cash awards. In</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Company's stockholders approved an Amended and</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2014 Equity Incentive Plan</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"A&amp;R 2014 Plan"), following</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its adoption</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Board in April 2021, which among other things</w:t>
            </w:r>
          </w:p>
        </w:tc>
      </w:tr>
    </w:tbl>
    <w:p>
      <w:pPr>
        <w:spacing w:after="0" w:line="250" w:lineRule="auto"/>
        <w:rPr>
          <w:sz w:val="20"/>
          <w:szCs w:val="20"/>
          <w:color w:val="auto"/>
        </w:rPr>
      </w:pPr>
      <w:r>
        <w:rPr>
          <w:rFonts w:ascii="Times New Roman" w:cs="Times New Roman" w:eastAsia="Times New Roman" w:hAnsi="Times New Roman"/>
          <w:sz w:val="18"/>
          <w:szCs w:val="18"/>
          <w:color w:val="auto"/>
        </w:rPr>
        <w:t>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6,889,885 as of June 30, 2022. The number of shares of common stock reserved for issuance under the A&amp;R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2014 Plan, on January 1, 2022, the common stock reserved for issuance under the 2014 Plan automatically increased by 1,400,225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2022, and 2021, no stock options were exercised.</w:t>
      </w:r>
    </w:p>
    <w:p>
      <w:pPr>
        <w:spacing w:after="0" w:line="22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June 30, 2022, 54,787 shares have been issued under the ESPP.</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Stock-based compensation expense recorded under the 2014 Plan, A&amp;R 2014 Plan and ESPP is included in the following line items in the accompanying unaudited condensed consolidated statements of operations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8"/>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1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r>
      <w:tr>
        <w:trPr>
          <w:trHeight w:val="22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There was $0.4 million of stock-based compensation expense related to performance-based awards recognized during the three and six months ended June 30, 2022, and $0.4 million of stock-based compensation expense related to performance-based awards recognized during the six months ended June 30, 2021. There was no stock-based compensation expense related to performance-based awards recognized during the three months ended June 30, 2021.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1" w:lineRule="exact"/>
        <w:rPr>
          <w:sz w:val="20"/>
          <w:szCs w:val="20"/>
          <w:color w:val="auto"/>
        </w:rPr>
      </w:pPr>
    </w:p>
    <w:p>
      <w:pPr>
        <w:ind w:left="460" w:hanging="224"/>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w:t>
      </w:r>
    </w:p>
    <w:p>
      <w:pPr>
        <w:spacing w:after="0" w:line="26" w:lineRule="exact"/>
        <w:rPr>
          <w:rFonts w:ascii="Times New Roman" w:cs="Times New Roman" w:eastAsia="Times New Roman" w:hAnsi="Times New Roman"/>
          <w:sz w:val="18"/>
          <w:szCs w:val="18"/>
          <w:color w:val="auto"/>
        </w:rPr>
      </w:pPr>
    </w:p>
    <w:p>
      <w:pPr>
        <w:ind w:left="460" w:hanging="224"/>
        <w:spacing w:after="0" w:line="249"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and</w:t>
      </w:r>
    </w:p>
    <w:p>
      <w:pPr>
        <w:ind w:left="460" w:hanging="224"/>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data, which require the Company to develop its own assumptions.</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investments and accounts payable and accrued expenses, approximate their respective fair values due to the short-term nature of such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June 30, 2022, and December 31,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11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Inputs (Level 3)</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Deerfield Warrant liability</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Embedded Warrant Put Option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KVK Warrant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3120" w:type="dxa"/>
            <w:vAlign w:val="bottom"/>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U.S. government-sponsored agency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33"/>
        </w:trPr>
        <w:tc>
          <w:tcPr>
            <w:tcW w:w="114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notes and commercial paper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9,691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3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37,734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30,164</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Inputs (Level 3)</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Deerfield Warrant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Warrant Put Option</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KVK Warrant liability</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1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color w:val="auto"/>
              </w:rPr>
              <w:t>U.S. government-sponsored agency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Deerfield Warrant liability, embedded Warrant Put Option and securities are measured at fair value on a recurring basis. As of June 30, 2022, and December 31, 2021, the Deerfield Warrant liability and the embedded Warrant Put Option are reported on the unaudited condensed consolidated balance sheets in derivative and warrant liability. As of June 30, 2022, and December 31, 2021, the securities are reported on the unaudited condensed consolidated balance sheets in short-term and long-term investments. The Company used a Monte Carlo simulation to value the Deerfield Warrant liability and embedded Warrant Put Option for all periods presented.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and embedded Warrant Put Option are reflected in the unaudited condensed consolidated statements of operations for the three and six months ended June 30, 2022, and 2021, as a fair value adjustment related to derivative and warrant liability.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derivative liability for the Deerfield Warrant was $52,000 and $288,000 at June 30, 2022, and December 31, 2021, respectively. The derivative liability for the embedded Warrant Put Option was $4,000 and $18,000 at June 30, 2022, and December 31, 2021, respectively. A 10% increase in the enterprise value would result in an increase of $12,000 in the estimated fair value of the Deerfield Warrant liability and an increase of $1,000 in the estimated fair value of the embedded Warrant Put Option liability. In addition, the Company assumed a weighted-average probability of a liquidity event occurring of approximately 25% with an estimated probability-weighted value of approximately $30.0 million and a weighted-average probability of a fundamental change event occurring of approximately 28% with an estimated probability-weighted value of approximately $380 million, respectively, with estimated timing in each scenario of the second quarter of 2023.</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KVK Warrant liability is measured at fair value on a recurring basis. As of June 30, 2022, and December 31, 2021, the KVK Warrant liability is reported on the unaudited condensed consolidated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unaudited condensed consolidated statements of operations for the three and six months ended June 30, 2022, and 2021, as a fair value adjustment related to derivative and warrant liability.</w:t>
      </w:r>
    </w:p>
    <w:p>
      <w:pPr>
        <w:spacing w:after="0" w:line="186"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 to fair value</w:t>
            </w:r>
          </w:p>
        </w:tc>
        <w:tc>
          <w:tcPr>
            <w:tcW w:w="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4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28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and the six months ended June 30, 2022 and 2021, the Company did not use the two-class method to compute net loss attributable to common stockholders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two-class method, for periods with net income attributable to common stockholders, basic net income attributable to common stockholders per share of common stock is computed by dividing the undistributed net income attributable to shares of common stockholders by the weighted average number of shares of common stock outstanding during the period. Undistributed net income attributable to shares of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warrants and other outstanding convertible securities. In addition to analyzing under the two-class method, the Company analyzes the potential dilutive effect of stock options and warrants, under the treasury-stock method and other outstanding convertible securities under the if-converted method when calculating diluted income (loss) attributable to common stockholders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(two-class or treasury-stock/if-converted) as its diluted net income (loss) attributable to common stockholders per share of common stock during the period.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for the three months ended June 30, 2022, and the six months ended June 30, 2022 and 2021, the Company did not utilize the two-class approach as the Company was in a net loss position and the holders of the participating securities have no obligation to fund losses. The Company did analyze diluted net loss attributable to common stockholders per share of common stock under the treasury-stock/if-converted method and noted that all outstanding stock options and warrants were anti-dilutive for the periods presented. For all period presented, basic net loss attributable to common stockholders per share of common stock was the same as diluted net loss attributable to common stockholders per share of common stock.</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under equity incentive plans</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2,529,569</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414,869</w:t>
            </w:r>
          </w:p>
        </w:tc>
        <w:tc>
          <w:tcPr>
            <w:tcW w:w="1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2,529,569</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414,869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4,252,600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4,584,889</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4,252,600</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4,584,889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3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Total   securities   excluded   from   the</w:t>
            </w: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calculation of weighted average number of</w:t>
            </w:r>
          </w:p>
        </w:tc>
        <w:tc>
          <w:tcPr>
            <w:tcW w:w="1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6,782,169</w:t>
            </w:r>
          </w:p>
        </w:tc>
        <w:tc>
          <w:tcPr>
            <w:tcW w:w="146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4,999,758</w:t>
            </w:r>
          </w:p>
        </w:tc>
        <w:tc>
          <w:tcPr>
            <w:tcW w:w="144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6,782,169</w:t>
            </w:r>
          </w:p>
        </w:tc>
        <w:tc>
          <w:tcPr>
            <w:tcW w:w="140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4,999,758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3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shares of common stock outstanding</w:t>
            </w:r>
          </w:p>
        </w:tc>
        <w:tc>
          <w:tcPr>
            <w:tcW w:w="1360" w:type="dxa"/>
            <w:vAlign w:val="bottom"/>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14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A reconciliation from net loss to basic and diluted net loss attributable to common stockholders per share of common stock for the three and six months ended June 30, 2022, and 2021,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350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Basic and diluted net loss per share of</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Dividends declared or accumulated</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3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Net (loss) income attributable to shares of</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(58,435)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common stockholders, basic and diluted</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continue"/>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Borders>
              <w:top w:val="single" w:sz="8" w:color="CCEEFF"/>
            </w:tcBorders>
          </w:tcPr>
          <w:p>
            <w:pPr>
              <w:ind w:left="160"/>
              <w:spacing w:after="0" w:line="190" w:lineRule="exact"/>
              <w:rPr>
                <w:sz w:val="20"/>
                <w:szCs w:val="20"/>
                <w:color w:val="auto"/>
              </w:rPr>
            </w:pPr>
            <w:r>
              <w:rPr>
                <w:rFonts w:ascii="Times New Roman" w:cs="Times New Roman" w:eastAsia="Times New Roman" w:hAnsi="Times New Roman"/>
                <w:sz w:val="18"/>
                <w:szCs w:val="18"/>
                <w:color w:val="auto"/>
              </w:rPr>
              <w:t>Less:   Net   income   attributable</w:t>
            </w:r>
          </w:p>
        </w:tc>
        <w:tc>
          <w:tcPr>
            <w:tcW w:w="240" w:type="dxa"/>
            <w:vAlign w:val="bottom"/>
            <w:tcBorders>
              <w:top w:val="single" w:sz="8" w:color="CCEEFF"/>
            </w:tcBorders>
          </w:tcPr>
          <w:p>
            <w:pPr>
              <w:spacing w:after="0" w:line="190" w:lineRule="exact"/>
              <w:rPr>
                <w:sz w:val="20"/>
                <w:szCs w:val="20"/>
                <w:color w:val="auto"/>
              </w:rPr>
            </w:pPr>
            <w:r>
              <w:rPr>
                <w:rFonts w:ascii="Times New Roman" w:cs="Times New Roman" w:eastAsia="Times New Roman" w:hAnsi="Times New Roman"/>
                <w:sz w:val="18"/>
                <w:szCs w:val="18"/>
                <w:color w:val="auto"/>
              </w:rPr>
              <w:t>to</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3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Undistributed  net  loss  attributable  to</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(58,435)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common stockholders, basic and diluted</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continue"/>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320" w:type="dxa"/>
            <w:vAlign w:val="bottom"/>
            <w:tcBorders>
              <w:top w:val="single" w:sz="8" w:color="CCEEFF"/>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Weighted  average  number  of  shares  of</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34,447</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29,175</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34,477</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24,187</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common stock outstanding, basic and diluted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350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Basic and diluted net loss attributable to</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5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common  stockholders  per  share  of</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continue"/>
            <w:shd w:val="clear" w:color="auto" w:fill="CCEEFF"/>
          </w:tcPr>
          <w:p>
            <w:pPr>
              <w:spacing w:after="0"/>
              <w:rPr>
                <w:sz w:val="23"/>
                <w:szCs w:val="23"/>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shd w:val="clear" w:color="auto" w:fill="CCEEFF"/>
          </w:tcPr>
          <w:p>
            <w:pPr>
              <w:spacing w:after="0"/>
              <w:rPr>
                <w:sz w:val="23"/>
                <w:szCs w:val="23"/>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shd w:val="clear" w:color="auto" w:fill="CCEEFF"/>
          </w:tcPr>
          <w:p>
            <w:pPr>
              <w:spacing w:after="0"/>
              <w:rPr>
                <w:sz w:val="23"/>
                <w:szCs w:val="2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shd w:val="clear" w:color="auto" w:fill="CCEEFF"/>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6"/>
        </w:trPr>
        <w:tc>
          <w:tcPr>
            <w:tcW w:w="1140" w:type="dxa"/>
            <w:vAlign w:val="bottom"/>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operating and finance leases for office space, laboratory facilities and various laboratory equipment, furniture and office equipment and leasehold improvements. The Company's leases have remaining lease terms of less than 1 year to approximately 4 years, some of which include options to extend the leases for up to 5 years, and some which include options to terminate the leases within 1 year.</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Effective June 1, 2021, the Company agreed to sublease office space in Florida, comprised of one of the two contiguous suites, under a non-cancelable operating lease, which expires in February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80" w:type="dxa"/>
            <w:vAlign w:val="bottom"/>
          </w:tcPr>
          <w:p>
            <w:pPr>
              <w:spacing w:after="0"/>
              <w:rPr>
                <w:sz w:val="20"/>
                <w:szCs w:val="20"/>
                <w:color w:val="auto"/>
              </w:rPr>
            </w:pPr>
          </w:p>
        </w:tc>
        <w:tc>
          <w:tcPr>
            <w:tcW w:w="2740" w:type="dxa"/>
            <w:vAlign w:val="bottom"/>
            <w:tcBorders>
              <w:bottom w:val="single" w:sz="8" w:color="auto"/>
            </w:tcBorders>
            <w:gridSpan w:val="7"/>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0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305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0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was as follows (in thousands):</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Operating cash flows from operating leases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cash flows from variable lease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70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8"/>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weighted average remaining lease term and weighted average discount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6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1,165</w:t>
            </w: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right-of-use assets</w:t>
            </w:r>
          </w:p>
        </w:tc>
        <w:tc>
          <w:tcPr>
            <w:tcW w:w="1460" w:type="dxa"/>
            <w:vAlign w:val="bottom"/>
            <w:gridSpan w:val="2"/>
          </w:tcPr>
          <w:p>
            <w:pPr>
              <w:spacing w:after="0"/>
              <w:rPr>
                <w:sz w:val="18"/>
                <w:szCs w:val="18"/>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1,165</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469</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1,551</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 (years)</w:t>
            </w: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 (years)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(excluding the six months ended June 30, 2022)</w:t>
            </w:r>
          </w:p>
        </w:tc>
        <w:tc>
          <w:tcPr>
            <w:tcW w:w="146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7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2021, filed with the SEC on March 31, 2022, our actual results could differ materially from the results described in or implied by the forward-looking statements contained in the following discussion and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We are a specialty pharmaceutical company focused on the discovery and development of treatments for central nervous system, or CNS, and rare disease indications that allow us to target high-value areas with significant unmet needs. Our core competency is the discovery and development of proprietary prodrugs to treat serious medical conditions through our proprietary Ligand Activated Therapy, or LAT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platform technology. We utilize our proprietary LAT platform technology to generate improved prodrug versions of drugs approved by the U.S. Food and Drug Administration, or FDA, as well as to generate prodrug versions of existing compounds that may have applications for new disease indications. Our prodrug product candidate pipeline is currently focused on the high need areas of idiopathic hypersomnia, or IH, and other CNS/rare diseases. Our approved product, AZSTARYS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formerly referred to as KP415, a new once-daily treatment for attention deficit hyperactivity disorder, or ADHD, in patients, age six years and older, contains our prodrug, serdexmethylphenidate, or SDX. AZSTARYS is being commercialized in the United States by Corium, Inc., or Corium, an affiliate of Gurnet Point Capital, L.P., which was tasked by Commave Therapeutics SA (formerly known as Boston Pharmaceuticals S.A.), or Commave, an affiliate of Gurnet Point Capital, L.P., to lead all commercialization activities for AZSTARYS under the KP415 License Agreement (as defined below). Our lead clinical development product candidate, KP1077, is based on SDX, our prodrug of d-methlyphenidate, or d-MPH, and is in development for the treatment of IH and narcolepsy. Our prodrug product candidate for the treatment of stimulant use disorder, or SUD, is KP879.</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strategic focus on CNS/rare disease indications guides our business development efforts to expand our pipeline with the goal of developing and potentially commercializing innovative therapies for patients living with CNS/rare neurological disorders. We intend to target assets that will allow us to leverage the expertise and infrastructure that we have successfully built at KemPharm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shareholders. In addition, we believe that a multi-channel development program with several product candidates addressing various CNS/rare disease indications will diversify risk and potentially create an impactful portfolio of commercial-stage products in the future.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May 2022, we, through our newly formed wholly-owned subsidiary, KemPharm Denmark A/S, or KemPharm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KemPharm DK purchased all of the assets and operations of Orphazyme related to arimoclomol and settled all of Orphazyme’s actual outstanding liabilities to its creditors with a cash payment of $12.8 million. In addition, KemPharm DK agreed to assume an estimated reserve liability of $5.2 million related to revenue generated from Orphazyme’s Early Access Program in France, or the Arimoclomol EAP.</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January 2022, we announced that we have selected KP1077 for the treatment of IH and narcolepsy as our next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commonly prescribed CNS stimulant. In addition, on May 5, 2022, we announced that we submitted an investigational new drug, or IND, application with the U.S. Food and Drug Administration, or FDA, seeking permission to commence a clinical program to evaluate KP1077 in IH. Upon clearance of the IND, we plan to initiate a Phase 2 clinical trial of KP1077 in IH, in the United States, as early as the second half of 2022, with a second trial in narcolepsy anticipated to begin soon after the initiation of the IH clinical trial.</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May 2021, we announced that SDX, our proprietary prodrug of d-MPH and the primary active pharmaceutical ingredient, or API, in AZSTARYS, was classified as a Schedule IV controlled substance by the U.S. Drug Enforcement Administration, or DEA. AZSTARYS is classified as a Schedule II controlled substance as it includes a 70:30 mixture of SDX (Schedule IV) and d-MPH (Schedule II), respectively.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2021, we announced that the FDA approved the New Drug Application, or NDA, for AZSTARYS, a once-daily product for the treatment of ADHD in patients ranging from six years and older. Commave has licensed the commercial rights for AZSTARYS as provided by the KP415 License Agreement, and has tasked Corium with leading all commercialization activities for AZSTARYS in the United States. Corium commercially launched AZSTARYS in the United States during the third quarter of 2021. In December 2021, Commave sublicensed commercialization rights for AZSTARYS in greater China to Shanghai Ark Biopharmaceutical Ltd.</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employ our proprietary LAT platform technology to discover and develop prodrugs that are new molecules that may potentially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the active form of the drug through a normal metabolic process. Where possible, we seek, to develop prodrugs that will be eligible for approval under Section 505(b)(2) of the Federal Food, Drug and Cosmetic Act, or the FFDCA, otherwise known as a 505(b)(2) NDA, which allows us to submit an NDA that relies on the FDA’s previous findings of safety and effectiveness for one or more approved products, if we demonstrate such reliance is scientifically appropriate.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advance our pipeline of prodrug product candidates for the treatment of IH and other CNS/rare diseases, and we reported top-line data from a Phase 1 proof-of-concept study for KP879 in the fourth quarter of 2021 and final data for the Phase 1 proof-of-concept study for KP879 in the first quarter of 2022. The higher-dose SDX Phase 1 clinical trial was a dose-escalation study to determine the pharmacokinetics, pharmacodynamic stimulant effects, and safety of single oral doses of SDX in subjects with a history of high-dose stimulant use. The full data set, which builds upon top-line data previously reported in the fourth quarter of 2021, affirmed that 240 mg and 360 mg doses of SDX were well-tolerated and produced d-MPH exposure that appeared to increase proportionally with dose. Mean d-MPH plasma concentrations demonstrated a gradual increase after SDX administration, reaching a broad peak from eight to twelve hours post-dose, followed by a shallow decline thereafter. Increased wakefulness, alertness, hypervigilance, and insomnia effects were reported by study participants, which suggests that SDX produced targeted pharmacodynamic effects that could benefit patients with IH and other sleep disorders.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plan to employ our LAT platform technology and development expertise to develop additional product candidates that address significant unmet medical needs in therapeutic indications which have few existing product options. We believe our product candidates may be eligible for composition-of-matter patent protection and we intend to use the 505(b)(2) NDA pathway when available, which we believe has the potential to reduce drug development time and expense.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historically had minimal positive net cash flows from operations. Our cash flows used in operations for the six months ended June 30, 2022, and 2021, were ($7.7) million and $14.0 million, respectively. However, the positive net cash flows from operations for the six months ended June 30, 2021, were primarily due to an adjustment to reconcile net loss to net cash used in operations of approximately $16.1 million related to a loss on extinguishment of debt during the period.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77" w:lineRule="exact"/>
        <w:rPr>
          <w:sz w:val="20"/>
          <w:szCs w:val="20"/>
          <w:color w:val="auto"/>
        </w:rPr>
      </w:pPr>
    </w:p>
    <w:p>
      <w:pPr>
        <w:ind w:left="460" w:hanging="22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 clinical trials and our product development activities for our pipeline of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and initiate clinical trials of our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employed our proprietary LAT platform technology to create a portfolio of approved products that we believe will offer, and product candidates that we believe have the potential to offer, significant improvements over currently available FDA-approved drugs. We also strive to acquire product candidates that we feel compliment our portfolio, for example, in May 2022, we purchased all of the assets and operations of Orphazyme related to arimoclomol.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selection of our product candidates and approved products are summarized in the table below:</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KemPharm Partnered and Other Development Assets</w:t>
      </w:r>
    </w:p>
    <w:p>
      <w:pPr>
        <w:spacing w:after="0" w:line="200" w:lineRule="exact"/>
        <w:rPr>
          <w:sz w:val="20"/>
          <w:szCs w:val="20"/>
          <w:color w:val="auto"/>
        </w:rPr>
      </w:pP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Candidate /</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Parent Drug (Effect Profile)</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80" w:type="dxa"/>
            <w:vAlign w:val="bottom"/>
          </w:tcPr>
          <w:p>
            <w:pPr>
              <w:spacing w:after="0"/>
              <w:rPr>
                <w:sz w:val="20"/>
                <w:szCs w:val="2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8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Next Milestone(s)</w:t>
            </w:r>
          </w:p>
        </w:tc>
        <w:tc>
          <w:tcPr>
            <w:tcW w:w="0" w:type="dxa"/>
            <w:vAlign w:val="bottom"/>
          </w:tcPr>
          <w:p>
            <w:pPr>
              <w:spacing w:after="0"/>
              <w:rPr>
                <w:sz w:val="1"/>
                <w:szCs w:val="1"/>
                <w:color w:val="auto"/>
              </w:rPr>
            </w:pPr>
          </w:p>
        </w:tc>
      </w:tr>
      <w:tr>
        <w:trPr>
          <w:trHeight w:val="130"/>
        </w:trPr>
        <w:tc>
          <w:tcPr>
            <w:tcW w:w="3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Status</w:t>
            </w:r>
          </w:p>
        </w:tc>
        <w:tc>
          <w:tcPr>
            <w:tcW w:w="80" w:type="dxa"/>
            <w:vAlign w:val="bottom"/>
          </w:tcPr>
          <w:p>
            <w:pPr>
              <w:spacing w:after="0"/>
              <w:rPr>
                <w:sz w:val="11"/>
                <w:szCs w:val="11"/>
                <w:color w:val="auto"/>
              </w:rPr>
            </w:pPr>
          </w:p>
        </w:tc>
        <w:tc>
          <w:tcPr>
            <w:tcW w:w="3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Arimoclomol (ER)</w:t>
            </w:r>
          </w:p>
        </w:tc>
        <w:tc>
          <w:tcPr>
            <w:tcW w:w="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Arimoclomol</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NDA</w:t>
            </w:r>
          </w:p>
        </w:tc>
        <w:tc>
          <w:tcPr>
            <w:tcW w:w="80" w:type="dxa"/>
            <w:vAlign w:val="bottom"/>
            <w:shd w:val="clear" w:color="auto" w:fill="CCEEFF"/>
          </w:tcPr>
          <w:p>
            <w:pPr>
              <w:spacing w:after="0"/>
              <w:rPr>
                <w:sz w:val="16"/>
                <w:szCs w:val="16"/>
                <w:color w:val="auto"/>
              </w:rPr>
            </w:pPr>
          </w:p>
        </w:tc>
        <w:tc>
          <w:tcPr>
            <w:tcW w:w="3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NDA Submission - as early as Q1 2023</w:t>
            </w:r>
          </w:p>
        </w:tc>
        <w:tc>
          <w:tcPr>
            <w:tcW w:w="0" w:type="dxa"/>
            <w:vAlign w:val="bottom"/>
          </w:tcPr>
          <w:p>
            <w:pPr>
              <w:spacing w:after="0"/>
              <w:rPr>
                <w:sz w:val="1"/>
                <w:szCs w:val="1"/>
                <w:color w:val="auto"/>
              </w:rPr>
            </w:pPr>
          </w:p>
        </w:tc>
      </w:tr>
      <w:tr>
        <w:trPr>
          <w:trHeight w:val="126"/>
        </w:trPr>
        <w:tc>
          <w:tcPr>
            <w:tcW w:w="3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Preparation</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(NPC)</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Methylphenidate (ER)</w:t>
            </w: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KP1077*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Clinical -</w:t>
            </w:r>
          </w:p>
        </w:tc>
        <w:tc>
          <w:tcPr>
            <w:tcW w:w="80" w:type="dxa"/>
            <w:vAlign w:val="bottom"/>
            <w:shd w:val="clear" w:color="auto" w:fill="CCEEFF"/>
          </w:tcPr>
          <w:p>
            <w:pPr>
              <w:spacing w:after="0"/>
              <w:rPr>
                <w:sz w:val="17"/>
                <w:szCs w:val="17"/>
                <w:color w:val="auto"/>
              </w:rPr>
            </w:pPr>
          </w:p>
        </w:tc>
        <w:tc>
          <w:tcPr>
            <w:tcW w:w="332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Initiation of Pivotal Phase 2 Trial - as early as</w:t>
            </w:r>
          </w:p>
        </w:tc>
        <w:tc>
          <w:tcPr>
            <w:tcW w:w="0" w:type="dxa"/>
            <w:vAlign w:val="bottom"/>
          </w:tcPr>
          <w:p>
            <w:pPr>
              <w:spacing w:after="0"/>
              <w:rPr>
                <w:sz w:val="1"/>
                <w:szCs w:val="1"/>
                <w:color w:val="auto"/>
              </w:rPr>
            </w:pPr>
          </w:p>
        </w:tc>
      </w:tr>
      <w:tr>
        <w:trPr>
          <w:trHeight w:val="126"/>
        </w:trPr>
        <w:tc>
          <w:tcPr>
            <w:tcW w:w="3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80" w:type="dxa"/>
            <w:vAlign w:val="bottom"/>
            <w:shd w:val="clear" w:color="auto" w:fill="CCEEFF"/>
          </w:tcPr>
          <w:p>
            <w:pPr>
              <w:spacing w:after="0"/>
              <w:rPr>
                <w:sz w:val="10"/>
                <w:szCs w:val="10"/>
                <w:color w:val="auto"/>
              </w:rPr>
            </w:pPr>
          </w:p>
        </w:tc>
        <w:tc>
          <w:tcPr>
            <w:tcW w:w="3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H2 2022</w:t>
            </w:r>
          </w:p>
        </w:tc>
        <w:tc>
          <w:tcPr>
            <w:tcW w:w="0" w:type="dxa"/>
            <w:vAlign w:val="bottom"/>
          </w:tcPr>
          <w:p>
            <w:pPr>
              <w:spacing w:after="0"/>
              <w:rPr>
                <w:sz w:val="1"/>
                <w:szCs w:val="1"/>
                <w:color w:val="auto"/>
              </w:rPr>
            </w:pPr>
          </w:p>
        </w:tc>
      </w:tr>
      <w:tr>
        <w:trPr>
          <w:trHeight w:val="107"/>
        </w:trPr>
        <w:tc>
          <w:tcPr>
            <w:tcW w:w="3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(IH)</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KP1077*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Clinical -</w:t>
            </w:r>
          </w:p>
        </w:tc>
        <w:tc>
          <w:tcPr>
            <w:tcW w:w="80" w:type="dxa"/>
            <w:vAlign w:val="bottom"/>
            <w:shd w:val="clear" w:color="auto" w:fill="CCEEFF"/>
          </w:tcPr>
          <w:p>
            <w:pPr>
              <w:spacing w:after="0"/>
              <w:rPr>
                <w:sz w:val="17"/>
                <w:szCs w:val="17"/>
                <w:color w:val="auto"/>
              </w:rPr>
            </w:pPr>
          </w:p>
        </w:tc>
        <w:tc>
          <w:tcPr>
            <w:tcW w:w="332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Initiation of Pivotal Phase 2 Trial - as early as</w:t>
            </w:r>
          </w:p>
        </w:tc>
        <w:tc>
          <w:tcPr>
            <w:tcW w:w="0" w:type="dxa"/>
            <w:vAlign w:val="bottom"/>
          </w:tcPr>
          <w:p>
            <w:pPr>
              <w:spacing w:after="0"/>
              <w:rPr>
                <w:sz w:val="1"/>
                <w:szCs w:val="1"/>
                <w:color w:val="auto"/>
              </w:rPr>
            </w:pPr>
          </w:p>
        </w:tc>
      </w:tr>
      <w:tr>
        <w:trPr>
          <w:trHeight w:val="126"/>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Methylphenidate (ER)</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80" w:type="dxa"/>
            <w:vAlign w:val="bottom"/>
            <w:shd w:val="clear" w:color="auto" w:fill="CCEEFF"/>
          </w:tcPr>
          <w:p>
            <w:pPr>
              <w:spacing w:after="0"/>
              <w:rPr>
                <w:sz w:val="10"/>
                <w:szCs w:val="10"/>
                <w:color w:val="auto"/>
              </w:rPr>
            </w:pPr>
          </w:p>
        </w:tc>
        <w:tc>
          <w:tcPr>
            <w:tcW w:w="3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H2 2022</w:t>
            </w:r>
          </w:p>
        </w:tc>
        <w:tc>
          <w:tcPr>
            <w:tcW w:w="0" w:type="dxa"/>
            <w:vAlign w:val="bottom"/>
          </w:tcPr>
          <w:p>
            <w:pPr>
              <w:spacing w:after="0"/>
              <w:rPr>
                <w:sz w:val="1"/>
                <w:szCs w:val="1"/>
                <w:color w:val="auto"/>
              </w:rPr>
            </w:pPr>
          </w:p>
        </w:tc>
      </w:tr>
      <w:tr>
        <w:trPr>
          <w:trHeight w:val="107"/>
        </w:trPr>
        <w:tc>
          <w:tcPr>
            <w:tcW w:w="32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(Narcolepsy Types I and II)</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KP879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Clinical -</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External funding and collaborations</w:t>
            </w:r>
          </w:p>
        </w:tc>
        <w:tc>
          <w:tcPr>
            <w:tcW w:w="0" w:type="dxa"/>
            <w:vAlign w:val="bottom"/>
          </w:tcPr>
          <w:p>
            <w:pPr>
              <w:spacing w:after="0"/>
              <w:rPr>
                <w:sz w:val="1"/>
                <w:szCs w:val="1"/>
                <w:color w:val="auto"/>
              </w:rPr>
            </w:pPr>
          </w:p>
        </w:tc>
      </w:tr>
      <w:tr>
        <w:trPr>
          <w:trHeight w:val="126"/>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Methylphenidate (ER)</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(SUD)</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Methylphenidate (ER)</w:t>
            </w: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AZSTARYS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4"/>
              </w:rPr>
              <w:t>FDA</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Tracking Payor Contracts and TRx's</w:t>
            </w:r>
          </w:p>
        </w:tc>
        <w:tc>
          <w:tcPr>
            <w:tcW w:w="0" w:type="dxa"/>
            <w:vAlign w:val="bottom"/>
          </w:tcPr>
          <w:p>
            <w:pPr>
              <w:spacing w:after="0"/>
              <w:rPr>
                <w:sz w:val="1"/>
                <w:szCs w:val="1"/>
                <w:color w:val="auto"/>
              </w:rPr>
            </w:pPr>
          </w:p>
        </w:tc>
      </w:tr>
      <w:tr>
        <w:trPr>
          <w:trHeight w:val="126"/>
        </w:trPr>
        <w:tc>
          <w:tcPr>
            <w:tcW w:w="3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Approved</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(ADHD)</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(Partnered)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APADAZ</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4"/>
              </w:rPr>
              <w:t>FDA</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Tracking Payor Contracts and TRx's</w:t>
            </w:r>
          </w:p>
        </w:tc>
        <w:tc>
          <w:tcPr>
            <w:tcW w:w="0" w:type="dxa"/>
            <w:vAlign w:val="bottom"/>
          </w:tcPr>
          <w:p>
            <w:pPr>
              <w:spacing w:after="0"/>
              <w:rPr>
                <w:sz w:val="1"/>
                <w:szCs w:val="1"/>
                <w:color w:val="auto"/>
              </w:rPr>
            </w:pPr>
          </w:p>
        </w:tc>
      </w:tr>
      <w:tr>
        <w:trPr>
          <w:trHeight w:val="126"/>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Hydrocodone/APAP (IR)</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Approved</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(Pain)</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(Partnered)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140" w:right="1180" w:hanging="9"/>
        <w:spacing w:after="0" w:line="251" w:lineRule="auto"/>
        <w:tabs>
          <w:tab w:leader="none" w:pos="1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product candidate is subject to a right of first negotiation upon completion of a Phase 1 proof-of-concept study in favor of Commave under the terms of the KP415 License Agreement, but is not currently licensed to Commave, thereunder. 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2021, filed with the SEC on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-551180</wp:posOffset>
            </wp:positionV>
            <wp:extent cx="5699760" cy="546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9760" cy="54610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KP415 License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2019, we entered into a collaboration and license agreement, or the KP415 License Agreement, with Commave. Under the KP415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KP415 License Agreement, we granted Commave an exclusive, worldwide license to commercialize and develop the Licensed Product Candidates; provided that such license shall apply to an Additional Product Candidate only if Commave exercises its option under the KP415 License Agreement related thereto. If Commave exercises its option related to any Additional Product Candidate under the KP415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KP415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In addition, Commave agreed to make additional payments upon the achievement of specified U.S. sales milestones of up to $420.0 million in the aggregate.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2021, we entered into Amendment No. 1 to the KP415 License Agreement, or the KP415 Amendment. Pursuant to the KP415 Amendment, we agreed to modify the compensation terms of the KP415 License Agreement. In addition, the KP415 Amendment increased the total remaining future regulatory and sales milestone payments related to AZSTARYS up to an aggregate of $590.0 million in payments upon the occurrence of specified regulatory milestones related to AZSTARYS and upon the achievement of specified U.S. net sales milestones. Further, Commave agreed to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KP415 Amendment, we also agreed to modify Commave’s right of first refusal such that our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Commave agreed to be responsible for and reimburse us for all of development, commercialization and regulatory expenses for the Licensed Product Candidates, subject to certain limitations as set forth in the KP415 License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 challenges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our March 2012 termination agreement with Aquestive, Aquestive has the right to receive a royalty amount equal to 10% of any value generated by AZSTARYS, KP484, KP879 or KP1077, and any product candidates containing SDX, including royalty payments on any license of AZSTARYS, KP484, KP879 or KP1077, the sale of AZSTARYS, KP484, KP879 or KP1077 to a third party, the commercialization of AZSTARYS, KP484, KP879 or KP1077 and the portion of any consideration that is attributable to the value of AZSTARYS, KP484, KP879 or KP1077 and paid to us or our stockholders in a change of control transaction.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which was earned in monthly installments through March 31, 2022 and paid in arrears. The remaining $2.0 million was conditioned upon the approval by the FDA of the NDA for Corium's product candidate, ADLARITY, which was approved in the first quarter of 2022. Corium also agreed to be responsible for and reimburse us for all development, commercialization and regulatory expenses incurred as part of the performance of the consulting services.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 (in thousands):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9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17,663</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19,914</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(30,600)</w:t>
            </w: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Interest expense related to amortization of debt</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 and discount</w:t>
            </w: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principal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Fair value adjustment related to derivative and</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w:t>
            </w:r>
          </w:p>
        </w:tc>
      </w:tr>
      <w:tr>
        <w:trPr>
          <w:trHeight w:val="215"/>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(30,245)</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16,898</w:t>
            </w:r>
          </w:p>
        </w:tc>
      </w:tr>
      <w:tr>
        <w:trPr>
          <w:trHeight w:val="20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Common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loss attributable to common stockholders for the three months ended June 30, 2022, was $24.0 million compared to net loss attributable to common stockholders of $10.7 million for the three months ended June 30, 2021, a change of $13.3 million. The change was primarily attributable to a change in (loss) income from operations of $30.6 million and a gain on extinguishment of debt of $0.8 million in 2021 that did not recur in 2022, partially offset by a deemed dividend, recognized as a result of the June 2021 Inducement Transaction, totaling $16.9 million which did not recur in 2022, a change in fair value adjustment related to derivative and warrant liability of $0.4 million, and an income tax benefit of $0.7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 for the three months ended June 30, 2022, was $1.3 million, a decrease of $10.7 million compared to revenue of $12.0 million for the three months ended June 30, 2021. The decrease was primarily attributable to a decrease in revenue from the KP415 License Agreement of approximately $10.0 million and a decrease in revenue from the Corium Consulting Agreement of approximately $1.9 million, partially offset by an increase in revenue from the Arimoclomol EAP of $0.9 million and other consulting agreements of approximately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three months ended June 30, 2022, was $0.1 million, a decrease of $0.9 million compared to cost of revenue of $1.0 million for the three months ended June 30, 2021. The decrease was primarily attributable to a decrease in royalty payments to Aquestive related to revenue from the KP415 License Agreement due to the regulatory milestone revenue earned in the second quarter of 2021, partially offset by royalties payable to Aquestive for the KP415 License Agreement royalty revenue in the second quarter of 2022 and cost of goods sold under the Arimoclomol EAP.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Research and development expenses increased by $1.9 million, from $2.8 million for the three months ended June 30, 2021, to $4.8 million for the three months ended June 30, 2022. This increase was primarily attributable to an increase in third-party research and development costs of $1.1 million, an increase in personnel-related costs of $0.6 million and an increase in other research and development costs of $0.2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General and administrative expenses increased by $1.3 million, from $2.3 million for the three months ended June 30, 2021, to $3.6 million for the three months ended June 30, 2022. This increase was primarily attributable to an increase in personnel-related costs of $1.3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Acquired in-process research and development expense increased by $17.7 million, from $0 for the three months ended June 30, 2021, to $17.7 million for the three months ended June 30, 2022. This increase was due to one-time acquired in-process research and development expense as a result of the transactions under Arimoclomol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income decreased by $360,000, from $370,000 for the three months ended June 30, 2021, to $10,000 for the three months ended June 30, 2022. This period-to-period decrease in income was primarily attributable to a gain on extinguishment of debt of $789,000 during the second quarter of 2021, partially offset by a change in fair value adjustment related to derivative and warrant liability of $426,000 and a change in net interest expense and other items of $3,000.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 (in thousands):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9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5,265</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w:t>
            </w: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2,764</w:t>
            </w:r>
          </w:p>
        </w:tc>
      </w:tr>
      <w:tr>
        <w:trPr>
          <w:trHeight w:val="215"/>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2,095</w:t>
            </w:r>
          </w:p>
        </w:tc>
      </w:tr>
      <w:tr>
        <w:trPr>
          <w:trHeight w:val="208"/>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17,663</w:t>
            </w:r>
          </w:p>
        </w:tc>
      </w:tr>
      <w:tr>
        <w:trPr>
          <w:trHeight w:val="215"/>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31,891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20,581</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12,793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(39,419)</w:t>
            </w: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(16,096)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16,096</w:t>
            </w: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Interest expense related to amortization of debt</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 and discount</w:t>
            </w: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principal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Fair value adjustment related to derivative and</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(16,886)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16,887</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w:t>
            </w:r>
          </w:p>
        </w:tc>
      </w:tr>
      <w:tr>
        <w:trPr>
          <w:trHeight w:val="215"/>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(21,813)</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(54,342)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54,342</w:t>
            </w:r>
          </w:p>
        </w:tc>
      </w:tr>
      <w:tr>
        <w:trPr>
          <w:trHeight w:val="20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(58,435)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32,529</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Common Stockholders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loss attributable to common stockholders for the six months ended June 30, 2022, was $25.9 million compared to net loss attributable to common stockholders of $58.4 million for the six months ended June 30, 2021, a change of $32.5 million. The change was primarily attributable to a deemed dividend, recognized as a result of the January 2021 Inducement Transaction and June 2021 Inducement Transaction, totaling $54.3 million which did not recur in 2022, a net loss on extinguishment of debt of $16.1 million in 2021 that did not recur in 2022, a change in fair value adjustment related to derivative and warrant liability of $0.7 million, an income tax benefit of $0.7 million and a change in net interest expense and other items of $0.1 million, partially offset by a change in (loss) income from operations of $39.4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Revenue for the six months ended June 30, 2022, was $5.3 million, a decrease of $18.8 million compared to revenue of $24.1 million for the six months ended June 30, 2021. The decrease was primarily attributable to a decrease in revenue from the KP415 License Agreement of approximately $19.9 million; partially offset by an increase in revenue from the Arimoclomol EAP of $0.9 million and other consulting arrangements of $0.2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six months ended June 30, 2022, was $0.1 million, a decrease of approximately $1.9 million compared to cost of revenue of $2.0 million for the six months ended June 30, 2021. The decrease was primarily attributable to a decrease in royalty payments to Aquestive related to revenue from the KP415 License Agreement due to the regulatory milestone revenue earned in the first and second quarters of 2021, partially offset by royalties payable to Aquestive for the KP415 License Agreement royalty revenue and cost of goods sold under the Arimoclomol EAP.</w:t>
      </w:r>
    </w:p>
    <w:p>
      <w:pPr>
        <w:sectPr>
          <w:pgSz w:w="11900" w:h="16838" w:orient="portrait"/>
          <w:cols w:equalWidth="0" w:num="1">
            <w:col w:w="11240"/>
          </w:cols>
          <w:pgMar w:left="320" w:top="121" w:right="33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0" w:gutter="0" w:footer="0" w:header="0"/>
          <w:type w:val="continuous"/>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Research and development expenses increased by $2.8 million, from $5.1 million for the six months ended June 30, 2021, to $7.9 million for the six months ended June 30, 2022. This increase was primarily attributable to an increase in third-party research and development costs of $1.7 million, an increase in personnel-related costs of $0.8 million and an increase in other research and development expense of $0.3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General and administrative expenses increased by $2.1 million, from $4.2 million for the six months ended June 30, 2021, to $6.3 million for the six months ended June 30, 2022. This increase was primarily attributable to an increase in personnel-related costs of $1.7 million and other general and administrative costs of $0.4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Acquired in-process research and development expense increased by $17.7 million, from $0 for the six months ended June 30, 2021, to $17.7 million for the six months ended June 30, 2022. This increase was due to one-time acquired in-process research and development expense as a result of the transactions under Arimoclomol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income (expense) changed by $16.9 million, from $16.9 million of expense for the six months ended June 30, 2021, to $1,000 for the six months ended June 30, 2022. This period-to-period change was primarily attributable to a net loss on extinguishment of debt of $16.1 million during 2021 which did not recur in 2022, a change in fair value adjustment related to derivative and warrant liability of $0.7 million and a change in net interest expense and other items of $0.1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June 30, 2022,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KP415 License Agreement, the Corium Consulting Agreement and other consulting arrangements and the Arimoclomol EAP. As of June 30, 2022, we had cash, cash equivalents and investments of $114.5 million.</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To date, we have generated revenue from the KP415 License Agreement, reimbursement of out-of-pocket third-party costs, performance of consulting services and product sales under the Arimoclomol EAP.</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2022, we, through our newly formed wholly-owned subsidiary, KemPharm Denmark A/S, or KemPharm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KemPharm DK purchased all of the assets and operations of Orphazyme related to arimoclomol and settled all of Orphazyme’s actual outstanding liabilities to its creditors with a cash payment of $12.8 million. In addition, KemPharm DK agreed to assume an estimated reserve liability of $5.2 million related to revenue generated from Orphazyme’s Early Access Program in France.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was earned in monthly installments through March 31, 2022, and paid in arrears. The remaining $2.0 million was conditioned upon the approval by the FDA of the NDA for Corium's product candidate, ADLARITY, which was approved in the first quarter of 2022. Corium also agreed to be responsible for and reimburse us for all development, commercialization and regulatory expenses incurred as part of the performance of the consulting services.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historically had minimal positive net cash flows from operations and we anticipate that we may continue to incur minimal positive net cash flows from operations for at least the next several years. We expect that our sources of revenue will be through payments arising from our license agreements with Commave and KVK, or through potential consulting arrangements, product sales under the Arimoclomol EAP and any other future arrangements related to one of our product candidates.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 In January 2022, we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January 2021, we entered into the January 2021 Inducement Letters. We received aggregate gross proceeds of $44.0 million from the exercise of the Existing Warrants by the Exercising Holders and the sale of the January 2021 Inducement Warrants.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April 2020, we received proceeds of $0.8 million from a loan, or the PPP Loan, under the Paycheck Protection Program, or the PPP, of the Coronavirus Aid, Relief, and Economic Security Act, or the CARES Act, which we used to retain current employees, maintain payroll and make lease and utility payments. In May 2021, we received notice from the U.S. Small Business Administration that our PPP Loan was forgiven in full, including all principal and interest.</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June 2021, we entered into the June 2021 Inducement Letters. We received aggregate gross proceeds of $39.1 million for the exercise of the select January 2021 Inducement Warrants by the select warrant holders and the sale of the June 2021 Inducement Warrants.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2021, we entered into the Equity Distribution Agreement with JMP and RBCCM under which we may offer and sell, from time to time at our sole discretion, shares of our common stock, having an aggregate offering price of up to $75.0 million through JMP and RBCCM as its sales agents. The issuance and sale, if any, of our common stock the Equity Distribution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us (including any price, time or size limits or other customary parameters or conditions we may impose). We will pay JMP and RBCCM a commission equal to 3.0% in the aggregate of the gross sales proceeds of any common stock sold through JMP and RBCCM under the Equity Distribution Agreement. We filed a registration statement on Form S-3 covering the sale of the shares of our common stock up to $350.0 million, $75.0 million of which was allocated to the sales of the shares of common stock issuable under the Equity Distribution Agreement, which was declared effective on July 12, 2021. As of June 30, 2022, no shares have been issued or sold under the Equity Distribution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20, 2021, we initiated a share repurchase program, or the Share Repurchase Program, pursuant to which we may repurchase up to $50 million of shares of our common stock through December 31, 2023. Capital allocation to the Share Repurchase Program will be based on a variety of factors, including our business results, the receipt of royalties and sales milestones under the KP415 License Agreement, and potentially other sources of non-dilutive capital that may become available to us. Repurchases will be made in compliance with Rule 10b-18 of the Securities Exchange Act of 1934, as amended, subject to a variety of factors, including the market price of our common stock, general market and economic conditions and applicable legal requirements. The exact number of shares to be repurchased by us is not guaranteed and the program may be suspended, modified, or discontinued at any time without prior notice. As of June 30, 2022, we have repurchased 909,953 shares of our common stock for approximately $7.5 million under the Share Repurchase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June 30, 2022, we had no convertible notes outstanding. During the first quarter of 2021 we repaid in full the convertible notes and terminated the Deerfield Facility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Deerfield Facility Agreement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approximately $3.3 million of the principal amount then due, plus approximately $0.2 million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w:t>
      </w:r>
    </w:p>
    <w:p>
      <w:pPr>
        <w:spacing w:after="0" w:line="5" w:lineRule="exact"/>
        <w:rPr>
          <w:sz w:val="20"/>
          <w:szCs w:val="20"/>
          <w:color w:val="auto"/>
        </w:rPr>
      </w:pPr>
    </w:p>
    <w:p>
      <w:pPr>
        <w:jc w:val="both"/>
        <w:ind w:firstLine="7"/>
        <w:spacing w:after="0" w:line="253"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256,410 shares of our common stock (effected for the 16-for-1 reverse stock split in December 2020, this became 16,025 shares of our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issued to Deerfield the Deerfield Warrant to purchase 14,423,076 shares of our Series D Preferred at an initial exercise price of $0.78 per share. Upon closing of our initial public offering, this warrant converted into a warrant exercisable for 1,923,077 shares of our common stock at an exercise price of $5.85 per share (effected for the 16-for-1 reverse stock split in December 2020, this became a warrant exercisable for 120,192 shares of our common stock at an exercise price of $93.60 per share). Upon the closing of the January 2021 Inducement Transaction, in accordance with the anti-dilution provisions contained within the Deerfield Warrant, the exercise price of the Deerfield Warrant was reduced to $46.25 per share. Further, upon closing of the June 2021 Inducement Transaction, in accordance with the anti-dilution provisions contained within the Deerfield Warrant, the exercise price of the Deerfield Warrant was reduced to $38.34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Notes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2021 Notes were issued pursuant to an indenture, dated as of February 9, 2016, between us and U.S. Bank National Association, as trustee. Interest on the 2021 Notes was payable semi-annually in cash in arrears on February 1 and August 1 of each year, beginning on August 1, 2016, at a rate of 5.50% per year. The 2021 Notes matured on February 1, 2021, unless earlier converted or repurchased.</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Note Exchange Effected in January 2020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approximately $3.0 million in exchange for the cancellation of an aggregate of approximately $3.0 million of principal amount and accrued interest of the 2021 Note then owned by Kingdon. Upon entering into the January 2020 Exchange Agreement, we agreed to pay Kingdon an interest payment of approximately $37,000, which represents 50% of the accrued and unpaid interest, as of January 13, 2020, on Kingdon’s 2021 Note. The remainder of such interest was included in the principal amount of the January 2020 Note.</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January 2020 Note was issued with substantially the same terms and conditions as the December 2019 Notes (as amended by the amendment described in more detail below).</w:t>
      </w:r>
    </w:p>
    <w:p>
      <w:pPr>
        <w:spacing w:after="0" w:line="16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7"/>
          <w:szCs w:val="17"/>
          <w:color w:val="auto"/>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w:t>
      </w:r>
    </w:p>
    <w:p>
      <w:pPr>
        <w:spacing w:after="0" w:line="1" w:lineRule="exact"/>
        <w:rPr>
          <w:sz w:val="20"/>
          <w:szCs w:val="20"/>
          <w:color w:val="auto"/>
        </w:rPr>
      </w:pPr>
    </w:p>
    <w:p>
      <w:pPr>
        <w:jc w:val="both"/>
        <w:ind w:firstLine="7"/>
        <w:spacing w:after="0" w:line="250" w:lineRule="auto"/>
        <w:tabs>
          <w:tab w:leader="none" w:pos="2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 (effected for the 16-for-1 reverse stock split in December 2020, this became 734,562 shares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we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of Delaware, setting forth the preferences, rights and limitations of the Series B-2 Preferred Stock.</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shares of Series B-2 Preferred Stock were convertible into an aggregate of 4,842,690 shares of our common stock. Each share of Series B-2 Preferred Stock had an aggregate stated value of $1,000 and was convertible into shares of our common stock at a per share price equal to $6.4999 (subject to adjustment to reflect stock splits and similar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all shares of Series B-2 Preferred Stock converted into common stock.</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June 2021, we filed with the Secretary of State of the State of Delaware a Certificate of Elimination of Series B-2 Convertible Preferred Stock, eliminating from our Certificate of Incorporation the 31,480 shares designated as Series B-2 Convertible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2020 Exchange Agreement Amendment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modified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B-2 Preferred Stock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11, 2021, as a condition to the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of Delaware, setting forth the preferences, rights and limitations of the Series B-2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Payoff of Facility Agreement Notes and Termination of Facility Agreement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February 8, 2021, we entered into a payoff letter with the Facility Agreement Note Holders, pursuant to which we agreed to pay off and thereby terminate the Facility Agreement.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the payoff letter, all outstanding indebtedness and obligations owed by us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May 2022, we entered into a $20.0 million revolving loan agreement with Ameris Bank, as lender, or the Line of Credit. Proceeds of the revolving facility provided by the Line of Credit are to be used for general corporate purposes. Loans under the Line of Credit bear interest at the Secured Overnight Financing Rate ("SOFR") plus 1.60%, with a SOFR floor of 0.00%</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latest maturity date of the loans under the Line of Credit is May 31, 2025. The Line of Credit contains customary events of default that could lead to an acceleration of the loans, including cross-default, bankruptcy and payment defaults. As of June 30, 2022, we have drawn $12.8 million from the Line of Credit to finance the transactions under the Arimoclomol Purchase Agreement, and this amount is supported by a $12.8 million certificate of deposit which is shown as long-term investments in the unaudited condensed consolidated balance sheets. The remaining $7.2 million available under the Line of Credit is secured by a separate interest-bearing certificate of deposit and is also recorded as long-term investments in the unaudited condensed consolidated balance sheets as of June 30, 2022. These certificates of deposit are pledged as collateral against the Line of Credit.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2022 and 2021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8"/>
        </w:trPr>
        <w:tc>
          <w:tcPr>
            <w:tcW w:w="6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8"/>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14,017</w:t>
            </w:r>
          </w:p>
        </w:tc>
      </w:tr>
      <w:tr>
        <w:trPr>
          <w:trHeight w:val="21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5"/>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114,037</w:t>
            </w:r>
          </w:p>
        </w:tc>
      </w:tr>
      <w:tr>
        <w:trPr>
          <w:trHeight w:val="20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127,973</w:t>
            </w:r>
          </w:p>
        </w:tc>
      </w:tr>
      <w:tr>
        <w:trPr>
          <w:trHeight w:val="20"/>
        </w:trPr>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of $7.7 million consisted of a net loss of $25.9 million and $2.4 million in changes in working capital, partially offset by $20.7 million in adjustments for non-cash items. Net loss was primarily attributable to our spending on research and development programs and operating costs, partially offset by revenue received under the KP415 License Agreement, Arimoclomol EAP and the Corium Consulting Agreement. The changes in working capital consisted of $1.9 million related to a change in prepaid expenses and other assets, $1.3 million related to a change in accounts and other receivables and $0.3 million related to a change in other liabilities, partially offset by $0.6 million related to a change in accounts payable and accrued expenses and $0.5 million related to a change in discount and rebate liabilities. The adjustments for non-cash items primarily consisted of stock-based compensation expense of $2.4 million, a change in the fair value adjustment related to investments of $0.5 million, $17.7 million related to acquired in-process research and development which was expensed as part of the transactions under the Arimoclomol Purchase Agreement and $0.4 million related to depreciation, amortization and other items, partially offset by a change in the fair value adjustment related to derivative and warrant liabilities of $0.3 million.</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operating activities of $14.0 million consisted of $18.0 million in adjustments for non-cash items and $0.1 million in changes in working capital, partially offset by a net loss of $4.1 million. The adjustments for non-cash items primarily consisted of a loss on extinguishment of debt of $16.1 million, stock-based compensation expense of $1.0 million, amortization of debt issuance costs and debt discount of $0.2 million, a change in the fair value adjustment related to derivative and warrant liabilities of $0.4 million and $0.4 million related to depreciation, amortization and other items. The changes in working capital consisted of $0.7 million related to a change in accounts and other receivables, $0.1 million related to a change in operating lease right-of-use assets and $2.5 million related to a change in other liabilities, partially offset by $1.7 million related to a change in accounts payable and accrued expenses, $0.2 million related to a change in operating lease liabilities and $1.3 million related to a change in prepaid expenses and other assets. Net loss was primarily attributable to a loss on extinguishment of debt and our spending on research and development programs and operating costs, partially offset by revenue received under the KP415 License Agreement and the Corium Consulting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$36.9 million, which was attributable to net acquisition costs of the transactions under the Arimoclomol Purchase Agreement of $14.1 million and purchases of investments of $23.8 million, partially offset by maturities of investments of $1.0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2021, net cash used in investing activities was $81,000, which was attributable to purchases of property and equipment.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was $9.0 million, which was primarily attributable to proceeds from the issuance of debt of $12.8 million, proceeds from insurance financing arrangements of $1.3 million and proceeds from sales of common stock under the Employee Stock Purchase Plan (the "ESPP") of $0.2 million, partially offset by payments to repurchase shares as part of the Share Repurchase Program of $4.7 million, payments of principal on insurance financing arrangements of $0.5 million and payment of offering costs of $0.1 million.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financing activities was $114.0 million, which was primarily attributable to net proceeds from sales of our common stock under the Public Offering of $49.3 million, net proceeds from the January 2021 Inducement Transaction of $41.4 million, net proceeds from the June 2021 Inducement Transaction of $35.6 million and net proceeds from the exercise of common stock warrants of $29.8 million, partially offset by payment of offering costs of $1.1 million, repayment of principal on finance lease liabilities of $0.1 million, payment of debt issuance costs of $2.9 million and repayment of principal on convertible notes of $37.9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our current operating forecast, we believe that our existing cash, cash equivalents and investments will be sufficient to fund our operations through and beyond 2025. This estimate does not include our projected revenue, a portion of which is based on royalties from commercial sales and upon the achievement of milestones in the KP415 License Agreement and the APADAZ License Agreement. Certain of the milestones are associated with regulatory matters that are outside our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23" w:lineRule="exact"/>
        <w:rPr>
          <w:sz w:val="20"/>
          <w:szCs w:val="20"/>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revenues generated under either the KP415 License Agreement or the APADAZ License Agreement;</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services revenue or short-term milestone payments generated under the KP415 License Agreement;</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under the Arimoclomol EAP;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services revenue generated under potential consulting arrangements.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generated revenue from the KP415 License Agreement, reimbursements of out-of-pocket third-party costs, the performance of consulting services and product sales under the Arimoclomol EAP. We expect that, for the foreseeable future, our only sources of revenues will be through payments arising from the KP415 License Agreement, the APADAZ License Agreement, through potential consulting arrangements and any other future arrangements related to one of our product candidates and product sales under the Arimoclomol EAP. While we have entered into the APADAZ License Agreement to commercialize APADAZ in the United States, and entered into the KP415 License Agreement to develop, manufacture and commercialize AZSTARYS and KP484, we cannot guarantee that this, or any strategy we adopt in the future, will be successful. For instance, we received milestone payments under the KP415 License Agreement, but we cannot guarantee that we will earn any additional milestone or royalty payments under this agreement in the future. We also cannot guarantee that we will continue to generate revenue under the Arimoclomol EAP. We also expect to continue to incur additional costs associated with operating as a public company.</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caused and continues to cause major disruptions to businesses and markets worldwide. We cannot predict what the long-term effects of this pandemic and the resulting economic disruptions may have on our liquidity and results of operations. The extent of the effect of the COVID-19 pandemic on our liquidity and results of operations will depend on a number of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and as a result of rising inflation and interest rates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KP415 License Agreement, the APADAZ License Agreement, the Corium Consulting Agreement, product sales under the Arimoclomol EAP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and assumptions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 xml:space="preserve">Our critical accounting policies have not changed materially from those described in </w:t>
      </w:r>
      <w:r>
        <w:rPr>
          <w:rFonts w:ascii="Times New Roman" w:cs="Times New Roman" w:eastAsia="Times New Roman" w:hAnsi="Times New Roman"/>
          <w:sz w:val="17"/>
          <w:szCs w:val="17"/>
          <w:i w:val="1"/>
          <w:iCs w:val="1"/>
          <w:color w:val="auto"/>
        </w:rPr>
        <w:t>Item 7 - Management's Discussion and Analysis of Financial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Results of Operations </w:t>
      </w:r>
      <w:r>
        <w:rPr>
          <w:rFonts w:ascii="Times New Roman" w:cs="Times New Roman" w:eastAsia="Times New Roman" w:hAnsi="Times New Roman"/>
          <w:sz w:val="17"/>
          <w:szCs w:val="17"/>
          <w:color w:val="auto"/>
        </w:rPr>
        <w:t>of our Annual Report on Form 10-K for the fiscal year ended December 31, 2021, filed with the SEC on March 31, 2022.</w:t>
      </w:r>
    </w:p>
    <w:p>
      <w:pPr>
        <w:spacing w:after="0" w:line="1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2022. Based on the evaluation of our disclosure controls and procedures as of June 30, 2022, our chief executive officer and our chief financial officer concluded that, as of such date,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our fiscal quarter ended June 30, 2022, that materially affected, or is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2021, filed with the SEC on March 31, 2022, before investing in our common stock. Except as disclosed below,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those risk factors and the other factors described in in this Quarterly Report on Form 10-Q.</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to grow our business, we will incur a variety of costs and may potentially face numerous risks that could adversely affect our business and operations and cause our stock price to decline.</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appropriate opportunities become available, we may seek to acquire businesses or assets to enhance our business. For example, in May 2022, we acquired all of the assets and operations of Orphazyme related to arimoclomol. In connection with any acquisitions, we could issue additional equity securities, which would dilute our stockholders, incur substantial debt to fund the acquisitions or assume significant liabilities.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involve many and diverse risks and uncertainties, including problems integrating the purchased operations or assets as well as unanticipated costs, liabilities, and economic, political, legal and regulatory challenges due to our inexperience operating in new regions or countries, and we may fail to successfully integrate acquired companies, such as Orphazyme, or retain key personnel from the acquired company. To date, we have limited experience with acquisitions and the integration of acquired operations and personnel.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New business strategies, especially those involving acquisitions, are inherently risky and may not be successful. Failure to successfully identify, complete, manage and integrate acquisitions could materially and adversely affect our business, financial condition and results of operations and could cause our stock price to decline.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and other global economic or political and regulatory developments could have a material adverse effect on our business, cash flows, financial condition and/or prospects.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Growth in the global pharmaceutical market has become increasingly tied to (i) global economic growth as an economic downturn may, for example as a the result of the COVID-19 pandemic's paralyzing effects on economic activities, reduce the amount of funding for the pharmaceutical sector as a whole or certain diseases targeted by us and (ii) political conditions, tension and uncertainty which could, for instance, impact the regulations applicable to us.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Uncertain political and geopolitical conditions currently exist in various parts of the world. At the end of 2021 and into 2022, tensions between the United States and Russia escalated when Russia amassed large numbers of military ground forces and support personnel on the Ukraine-Russia border and in February 2022, Russia launched a wide-ranging attack on Ukraine. In response, the North Atlantic Treaty Organization ("NATO") has deployed additional military forces to Eastern Europe, and the United Kingdom, the European Union and the United States announced certain sanctions against Russia. The conflict in Ukraine and any retaliatory measures taken by the United States and NATO could threaten global security and result in further regional conflict and otherwise have a lasting impact on regional and global economies, any or all of which could adversely affect our business. In addition, the full effects of the United Kingdom’s exit from the EU in January 2020 are impossible to predict but may result in significant market volatility and dislocation, and adversely affect the United Kingdom, European and global economy.</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Future legal or regulatory changes in jurisdictions where we currently operate, or in such jurisdictions in which we may choose to operate in the future, could materially and adversely affect our business, results of operations, cash flows, financial condition and/or prospects, including by imposing regulatory and operational restrictions and compliance obligations on our business, reducing our revenue or increasing our expenses.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above circumstances, individually or in the aggregate, could have a material adverse effect on our business, cash flows, financial condition and/or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19050</wp:posOffset>
            </wp:positionV>
            <wp:extent cx="16040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11" w:lineRule="exact"/>
        <w:rPr>
          <w:sz w:val="20"/>
          <w:szCs w:val="20"/>
          <w:color w:val="auto"/>
        </w:rPr>
      </w:pPr>
    </w:p>
    <w:p>
      <w:pPr>
        <w:ind w:left="1140"/>
        <w:spacing w:after="0" w:line="257" w:lineRule="auto"/>
        <w:rPr>
          <w:sz w:val="20"/>
          <w:szCs w:val="20"/>
          <w:color w:val="auto"/>
        </w:rPr>
      </w:pPr>
      <w:r>
        <w:rPr>
          <w:rFonts w:ascii="Times New Roman" w:cs="Times New Roman" w:eastAsia="Times New Roman" w:hAnsi="Times New Roman"/>
          <w:sz w:val="18"/>
          <w:szCs w:val="18"/>
          <w:color w:val="auto"/>
        </w:rPr>
        <w:t>April 1, 2022 through April 30, 2022</w:t>
      </w:r>
    </w:p>
    <w:p>
      <w:pPr>
        <w:ind w:left="1140" w:right="100"/>
        <w:spacing w:after="0" w:line="249" w:lineRule="auto"/>
        <w:rPr>
          <w:sz w:val="20"/>
          <w:szCs w:val="20"/>
          <w:color w:val="auto"/>
        </w:rPr>
      </w:pPr>
      <w:r>
        <w:rPr>
          <w:rFonts w:ascii="Times New Roman" w:cs="Times New Roman" w:eastAsia="Times New Roman" w:hAnsi="Times New Roman"/>
          <w:sz w:val="18"/>
          <w:szCs w:val="18"/>
          <w:color w:val="auto"/>
        </w:rPr>
        <w:t>May 1, 2022 through May 31, 2022</w:t>
      </w:r>
    </w:p>
    <w:p>
      <w:pPr>
        <w:ind w:left="1140" w:right="100"/>
        <w:spacing w:after="0" w:line="249" w:lineRule="auto"/>
        <w:rPr>
          <w:sz w:val="20"/>
          <w:szCs w:val="20"/>
          <w:color w:val="auto"/>
        </w:rPr>
      </w:pPr>
      <w:r>
        <w:rPr>
          <w:rFonts w:ascii="Times New Roman" w:cs="Times New Roman" w:eastAsia="Times New Roman" w:hAnsi="Times New Roman"/>
          <w:sz w:val="18"/>
          <w:szCs w:val="18"/>
          <w:color w:val="auto"/>
        </w:rPr>
        <w:t>June 1, 2022 through June 30, 2022</w:t>
      </w:r>
    </w:p>
    <w:p>
      <w:pPr>
        <w:ind w:left="1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Number (or</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80" w:type="dxa"/>
            <w:vAlign w:val="bottom"/>
          </w:tcPr>
          <w:p>
            <w:pPr>
              <w:spacing w:after="0"/>
              <w:rPr>
                <w:sz w:val="18"/>
                <w:szCs w:val="18"/>
                <w:color w:val="auto"/>
              </w:rPr>
            </w:pPr>
          </w:p>
        </w:tc>
        <w:tc>
          <w:tcPr>
            <w:tcW w:w="15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5"/>
        </w:trPr>
        <w:tc>
          <w:tcPr>
            <w:tcW w:w="1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8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Under the Plans</w:t>
            </w:r>
          </w:p>
        </w:tc>
      </w:tr>
      <w:tr>
        <w:trPr>
          <w:trHeight w:val="237"/>
        </w:trPr>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80" w:type="dxa"/>
            <w:vAlign w:val="bottom"/>
          </w:tcPr>
          <w:p>
            <w:pPr>
              <w:spacing w:after="0"/>
              <w:rPr>
                <w:sz w:val="20"/>
                <w:szCs w:val="20"/>
                <w:color w:val="auto"/>
              </w:rPr>
            </w:pPr>
          </w:p>
        </w:tc>
        <w:tc>
          <w:tcPr>
            <w:tcW w:w="15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or Programs(1)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424"/>
        </w:trPr>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42,500,000</w:t>
            </w:r>
          </w:p>
        </w:tc>
      </w:tr>
      <w:tr>
        <w:trPr>
          <w:trHeight w:val="322"/>
        </w:trPr>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42,500,000</w:t>
            </w:r>
          </w:p>
        </w:tc>
      </w:tr>
      <w:tr>
        <w:trPr>
          <w:trHeight w:val="537"/>
        </w:trPr>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5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42,500,000</w:t>
            </w:r>
          </w:p>
        </w:tc>
      </w:tr>
      <w:tr>
        <w:trPr>
          <w:trHeight w:val="231"/>
        </w:trPr>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-977900</wp:posOffset>
            </wp:positionV>
            <wp:extent cx="5699760" cy="273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9760" cy="27305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-431800</wp:posOffset>
            </wp:positionV>
            <wp:extent cx="5699760" cy="281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9760" cy="281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380"/>
            <w:col w:w="6379"/>
          </w:cols>
          <w:pgMar w:left="320" w:top="121" w:right="1440" w:bottom="1440" w:gutter="0" w:footer="0" w:header="0"/>
          <w:type w:val="continuous"/>
        </w:sectPr>
      </w:pPr>
    </w:p>
    <w:p>
      <w:pPr>
        <w:spacing w:after="0" w:line="1" w:lineRule="exact"/>
        <w:rPr>
          <w:sz w:val="20"/>
          <w:szCs w:val="20"/>
          <w:color w:val="auto"/>
        </w:rPr>
      </w:pPr>
    </w:p>
    <w:p>
      <w:pPr>
        <w:jc w:val="both"/>
        <w:ind w:left="1140" w:right="39" w:hanging="9"/>
        <w:spacing w:after="0" w:line="255" w:lineRule="auto"/>
        <w:tabs>
          <w:tab w:leader="none" w:pos="14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2021, the Company announced that it had initiated a share repurchase program, or the Share Repurchase Program, pursuant to which the Company may repurchase up to $50 million of shares of its common stock through December 31, 2023.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w:t>
      </w:r>
    </w:p>
    <w:p>
      <w:pPr>
        <w:spacing w:after="0" w:line="18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is a list of exhibits filed as part of this Form 10-Q (the SEC file number for all items incorporated by reference herein from reports on Forms 10-K, 10-Q, and 8-K is 001-36913):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8"/>
        </w:trPr>
        <w:tc>
          <w:tcPr>
            <w:tcW w:w="10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980" w:type="dxa"/>
            <w:vAlign w:val="bottom"/>
            <w:tcBorders>
              <w:top w:val="single" w:sz="8" w:color="auto"/>
              <w:bottom w:val="single" w:sz="8" w:color="0000EE"/>
            </w:tcBorders>
            <w:gridSpan w:val="12"/>
          </w:tcPr>
          <w:p>
            <w:pPr>
              <w:spacing w:after="0" w:line="168"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Certificate of Incorporation of KemPharm, Inc. (incorporated herein by reference to the Registrant’s Current</w:t>
              </w:r>
            </w:hyperlink>
          </w:p>
        </w:tc>
        <w:tc>
          <w:tcPr>
            <w:tcW w:w="20" w:type="dxa"/>
            <w:vAlign w:val="bottom"/>
            <w:tcBorders>
              <w:bottom w:val="single" w:sz="8" w:color="0000EE"/>
            </w:tcBorders>
          </w:tcPr>
          <w:p>
            <w:pPr>
              <w:spacing w:after="0"/>
              <w:rPr>
                <w:sz w:val="14"/>
                <w:szCs w:val="14"/>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4"/>
          </w:tcPr>
          <w:p>
            <w:pPr>
              <w:spacing w:after="0" w:line="195"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Report on Form 8-K as filed with the SEC on April 21, 2015).</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Certificate of Amendment of Amended and Restated Certificate of Incorporation of the Registrant, effective as of December 23, 2020</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2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(incorporated herein by reference to Registrant's Current Report on Form 8-K as filed with the SEC on December 23, 2020).</w:t>
              </w:r>
            </w:hyperlink>
          </w:p>
        </w:tc>
        <w:tc>
          <w:tcPr>
            <w:tcW w:w="1100" w:type="dxa"/>
            <w:vAlign w:val="bottom"/>
            <w:gridSpan w:val="5"/>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Amended and Restated Bylaws, as currently in effect, of KemPharm, Inc. (incorporated herein by reference to the Registrant's Current</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4"/>
          </w:tcPr>
          <w:p>
            <w:pPr>
              <w:spacing w:after="0" w:line="195"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Report on Form 8-K as filed with the SEC on July 17, 2020).</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6"/>
                <w:szCs w:val="16"/>
                <w:color w:val="auto"/>
              </w:rPr>
            </w:pPr>
          </w:p>
        </w:tc>
        <w:tc>
          <w:tcPr>
            <w:tcW w:w="10020" w:type="dxa"/>
            <w:vAlign w:val="bottom"/>
            <w:gridSpan w:val="14"/>
          </w:tcPr>
          <w:p>
            <w:pPr>
              <w:spacing w:after="0" w:line="195"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Specimen stock certificate evidencing shares of Common Stock (incorporated herein by reference to the Registrant's Annual Report on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tcBorders>
              <w:top w:val="single" w:sz="8" w:color="0000EE"/>
            </w:tcBorders>
            <w:gridSpan w:val="11"/>
          </w:tcPr>
          <w:p>
            <w:pPr>
              <w:spacing w:after="0" w:line="195"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10-K as filed with the SEC on March 12, 2021).</w:t>
              </w:r>
            </w:hyperlink>
          </w:p>
        </w:tc>
        <w:tc>
          <w:tcPr>
            <w:tcW w:w="360" w:type="dxa"/>
            <w:vAlign w:val="bottom"/>
            <w:gridSpan w:val="3"/>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Asset Purchase Agreement by and among KemPharm, Inc., KemPharm Denmark A/S and Orphazyme A/S, in restructuring, dated May 15,</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8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2022 (incorporated herein by reference to the Registrant's Current Report on Form 8-K as filed with the SEC on May 16, 2022).</w:t>
              </w:r>
            </w:hyperlink>
          </w:p>
        </w:tc>
        <w:tc>
          <w:tcPr>
            <w:tcW w:w="840" w:type="dxa"/>
            <w:vAlign w:val="bottom"/>
            <w:gridSpan w:val="4"/>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6"/>
                <w:szCs w:val="16"/>
                <w:color w:val="auto"/>
              </w:rPr>
            </w:pPr>
          </w:p>
        </w:tc>
        <w:tc>
          <w:tcPr>
            <w:tcW w:w="10020" w:type="dxa"/>
            <w:vAlign w:val="bottom"/>
            <w:gridSpan w:val="14"/>
          </w:tcPr>
          <w:p>
            <w:pPr>
              <w:spacing w:after="0" w:line="195"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Revolving Loan Agreement dated May 31, 2022 by and among KemPharm, Inc. and Ameris Bank, as lender (incorporated herein by</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960" w:type="dxa"/>
            <w:vAlign w:val="bottom"/>
            <w:tcBorders>
              <w:top w:val="single" w:sz="8" w:color="0000EE"/>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reference to the Registrant's Current Report on Form 8-K as filed with the SEC on June 1, 2022).</w:t>
              </w:r>
            </w:hyperlink>
          </w:p>
        </w:tc>
        <w:tc>
          <w:tcPr>
            <w:tcW w:w="3020" w:type="dxa"/>
            <w:vAlign w:val="bottom"/>
            <w:tcBorders>
              <w:top w:val="single" w:sz="8" w:color="0000EE"/>
            </w:tcBorders>
            <w:gridSpan w:val="4"/>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or Rule 15d-14(a) of the Securities Exchange Act of 1934, as</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7"/>
              </w:rPr>
              <w:t>amended.</w:t>
            </w:r>
          </w:p>
        </w:tc>
        <w:tc>
          <w:tcPr>
            <w:tcW w:w="9320" w:type="dxa"/>
            <w:vAlign w:val="bottom"/>
            <w:gridSpan w:val="1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Rule 15d-14(a) of the Securities Exchange Act of 1934, as</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7"/>
              </w:rPr>
              <w:t>amended.</w:t>
            </w:r>
          </w:p>
        </w:tc>
        <w:tc>
          <w:tcPr>
            <w:tcW w:w="9320" w:type="dxa"/>
            <w:vAlign w:val="bottom"/>
            <w:gridSpan w:val="1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32.1**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13a-14(b) of the Securities Exchange Act of 1934, as amended, and 18.</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c>
          <w:tcPr>
            <w:tcW w:w="3340" w:type="dxa"/>
            <w:vAlign w:val="bottom"/>
            <w:gridSpan w:val="7"/>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32.2**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13a-14(b) of the Securities Exchange Act of 1934, as amended, and 18.</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6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c>
          <w:tcPr>
            <w:tcW w:w="3360" w:type="dxa"/>
            <w:vAlign w:val="bottom"/>
            <w:gridSpan w:val="8"/>
          </w:tcPr>
          <w:p>
            <w:pPr>
              <w:spacing w:after="0"/>
              <w:rPr>
                <w:sz w:val="16"/>
                <w:szCs w:val="16"/>
                <w:color w:val="auto"/>
              </w:rPr>
            </w:pPr>
          </w:p>
        </w:tc>
      </w:tr>
      <w:tr>
        <w:trPr>
          <w:trHeight w:val="21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220" w:type="dxa"/>
            <w:vAlign w:val="bottom"/>
          </w:tcPr>
          <w:p>
            <w:pPr>
              <w:spacing w:after="0"/>
              <w:rPr>
                <w:sz w:val="18"/>
                <w:szCs w:val="18"/>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220" w:type="dxa"/>
            <w:vAlign w:val="bottom"/>
          </w:tcPr>
          <w:p>
            <w:pPr>
              <w:spacing w:after="0"/>
              <w:rPr>
                <w:sz w:val="18"/>
                <w:szCs w:val="18"/>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220" w:type="dxa"/>
            <w:vAlign w:val="bottom"/>
          </w:tcPr>
          <w:p>
            <w:pPr>
              <w:spacing w:after="0"/>
              <w:rPr>
                <w:sz w:val="18"/>
                <w:szCs w:val="18"/>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220" w:type="dxa"/>
            <w:vAlign w:val="bottom"/>
          </w:tcPr>
          <w:p>
            <w:pPr>
              <w:spacing w:after="0"/>
              <w:rPr>
                <w:sz w:val="18"/>
                <w:szCs w:val="18"/>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220" w:type="dxa"/>
            <w:vAlign w:val="bottom"/>
          </w:tcPr>
          <w:p>
            <w:pPr>
              <w:spacing w:after="0"/>
              <w:rPr>
                <w:sz w:val="18"/>
                <w:szCs w:val="18"/>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220" w:type="dxa"/>
            <w:vAlign w:val="bottom"/>
          </w:tcPr>
          <w:p>
            <w:pPr>
              <w:spacing w:after="0"/>
              <w:rPr>
                <w:sz w:val="20"/>
                <w:szCs w:val="20"/>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combined in Exhibit 101)</w:t>
            </w:r>
          </w:p>
        </w:tc>
      </w:tr>
    </w:tbl>
    <w:p>
      <w:pPr>
        <w:spacing w:after="0" w:line="196" w:lineRule="exact"/>
        <w:rPr>
          <w:sz w:val="20"/>
          <w:szCs w:val="20"/>
          <w:color w:val="auto"/>
        </w:rPr>
      </w:pPr>
    </w:p>
    <w:p>
      <w:pPr>
        <w:ind w:left="500" w:hanging="493"/>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3"/>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8" w:lineRule="exact"/>
        <w:rPr>
          <w:sz w:val="20"/>
          <w:szCs w:val="20"/>
          <w:color w:val="auto"/>
        </w:rPr>
      </w:pPr>
    </w:p>
    <w:p>
      <w:pPr>
        <w:jc w:val="both"/>
        <w:ind w:left="500" w:hanging="493"/>
        <w:spacing w:after="0" w:line="253"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 provided, however, that the parties may request confidential treatment pursuant to Rule 24b-2 of the Exchange Act for any document so furnished.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KemPharm, Inc.</w:t>
            </w:r>
          </w:p>
        </w:tc>
      </w:tr>
      <w:tr>
        <w:trPr>
          <w:trHeight w:val="4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12, 2022</w:t>
            </w:r>
          </w:p>
        </w:tc>
        <w:tc>
          <w:tcPr>
            <w:tcW w:w="24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C. Mickle</w:t>
            </w:r>
          </w:p>
        </w:tc>
      </w:tr>
      <w:tr>
        <w:trPr>
          <w:trHeight w:val="190"/>
        </w:trPr>
        <w:tc>
          <w:tcPr>
            <w:tcW w:w="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Travis C. Mickle, Ph.D.</w:t>
            </w:r>
          </w:p>
        </w:tc>
      </w:tr>
      <w:tr>
        <w:trPr>
          <w:trHeight w:val="215"/>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12, 2022</w:t>
            </w:r>
          </w:p>
        </w:tc>
        <w:tc>
          <w:tcPr>
            <w:tcW w:w="24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210"/>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 LaDuane Clifton, CPA</w:t>
            </w:r>
          </w:p>
        </w:tc>
      </w:tr>
    </w:tbl>
    <w:p>
      <w:pPr>
        <w:ind w:left="624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C. Mickle, certify that:</w:t>
      </w:r>
    </w:p>
    <w:p>
      <w:pPr>
        <w:spacing w:after="0" w:line="223" w:lineRule="exact"/>
        <w:rPr>
          <w:sz w:val="20"/>
          <w:szCs w:val="20"/>
          <w:color w:val="auto"/>
        </w:rPr>
      </w:pPr>
    </w:p>
    <w:p>
      <w:pPr>
        <w:ind w:left="880" w:hanging="429"/>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KemPharm, Inc.;</w:t>
      </w:r>
    </w:p>
    <w:p>
      <w:pPr>
        <w:spacing w:after="0" w:line="26" w:lineRule="exact"/>
        <w:rPr>
          <w:rFonts w:ascii="Times New Roman" w:cs="Times New Roman" w:eastAsia="Times New Roman" w:hAnsi="Times New Roman"/>
          <w:sz w:val="18"/>
          <w:szCs w:val="18"/>
          <w:color w:val="auto"/>
        </w:rPr>
      </w:pPr>
    </w:p>
    <w:p>
      <w:pPr>
        <w:jc w:val="both"/>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 w:lineRule="exact"/>
        <w:rPr>
          <w:rFonts w:ascii="Times New Roman" w:cs="Times New Roman" w:eastAsia="Times New Roman" w:hAnsi="Times New Roman"/>
          <w:sz w:val="18"/>
          <w:szCs w:val="18"/>
          <w:color w:val="auto"/>
        </w:rPr>
      </w:pPr>
    </w:p>
    <w:p>
      <w:pPr>
        <w:jc w:val="both"/>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20" w:hanging="439"/>
        <w:spacing w:after="0" w:line="258"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C. Mickle</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LaDuane Clifton, certify that:</w:t>
      </w:r>
    </w:p>
    <w:p>
      <w:pPr>
        <w:spacing w:after="0" w:line="223" w:lineRule="exact"/>
        <w:rPr>
          <w:sz w:val="20"/>
          <w:szCs w:val="20"/>
          <w:color w:val="auto"/>
        </w:rPr>
      </w:pPr>
    </w:p>
    <w:p>
      <w:pPr>
        <w:ind w:left="880" w:hanging="429"/>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KemPharm, Inc.;</w:t>
      </w:r>
    </w:p>
    <w:p>
      <w:pPr>
        <w:spacing w:after="0" w:line="26" w:lineRule="exact"/>
        <w:rPr>
          <w:rFonts w:ascii="Times New Roman" w:cs="Times New Roman" w:eastAsia="Times New Roman" w:hAnsi="Times New Roman"/>
          <w:sz w:val="18"/>
          <w:szCs w:val="18"/>
          <w:color w:val="auto"/>
        </w:rPr>
      </w:pPr>
    </w:p>
    <w:p>
      <w:pPr>
        <w:jc w:val="both"/>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 w:lineRule="exact"/>
        <w:rPr>
          <w:rFonts w:ascii="Times New Roman" w:cs="Times New Roman" w:eastAsia="Times New Roman" w:hAnsi="Times New Roman"/>
          <w:sz w:val="18"/>
          <w:szCs w:val="18"/>
          <w:color w:val="auto"/>
        </w:rPr>
      </w:pPr>
    </w:p>
    <w:p>
      <w:pPr>
        <w:jc w:val="both"/>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20" w:hanging="439"/>
        <w:spacing w:after="0" w:line="258"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Secretary and Treasurer</w:t>
            </w:r>
          </w:p>
        </w:tc>
      </w:tr>
      <w:tr>
        <w:trPr>
          <w:trHeight w:val="234"/>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on Form 10-Q of KemPharm, Inc., (the “Company”) for the quarterly period ended June 30, 2022,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880" w:hanging="429"/>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880" w:hanging="429"/>
        <w:spacing w:after="0" w:line="258"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C. Mickle</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on Form 10-Q of KemPharm, Inc., (the “Company”) for the quarterly period ended June 30, 2022,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880" w:hanging="429"/>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880" w:hanging="429"/>
        <w:spacing w:after="0" w:line="258"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Secretary and Treasurer</w:t>
            </w:r>
          </w:p>
        </w:tc>
      </w:tr>
      <w:tr>
        <w:trPr>
          <w:trHeight w:val="234"/>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upperLetter"/>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upperLetter"/>
      <w:start w:val="2"/>
    </w:lvl>
  </w:abstractNum>
  <w:abstractNum w:abstractNumId="6">
    <w:nsid w:val="436C6125"/>
    <w:multiLevelType w:val="hybridMultilevel"/>
    <w:lvl w:ilvl="0">
      <w:lvlJc w:val="left"/>
      <w:lvlText w:val="%1."/>
      <w:numFmt w:val="upperLetter"/>
      <w:start w:val="3"/>
    </w:lvl>
  </w:abstractNum>
  <w:abstractNum w:abstractNumId="7">
    <w:nsid w:val="628C895D"/>
    <w:multiLevelType w:val="hybridMultilevel"/>
    <w:lvl w:ilvl="0">
      <w:lvlJc w:val="left"/>
      <w:lvlText w:val="(%1)"/>
      <w:numFmt w:val="lowerRoman"/>
      <w:start w:val="1"/>
    </w:lvl>
  </w:abstractNum>
  <w:abstractNum w:abstractNumId="8">
    <w:nsid w:val="333AB105"/>
    <w:multiLevelType w:val="hybridMultilevel"/>
    <w:lvl w:ilvl="0">
      <w:lvlJc w:val="left"/>
      <w:lvlText w:val="(%1)"/>
      <w:numFmt w:val="lowerRoman"/>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upperLetter"/>
      <w:start w:val="4"/>
    </w:lvl>
  </w:abstractNum>
  <w:abstractNum w:abstractNumId="13">
    <w:nsid w:val="75A2A8D4"/>
    <w:multiLevelType w:val="hybridMultilevel"/>
    <w:lvl w:ilvl="0">
      <w:lvlJc w:val="left"/>
      <w:lvlText w:val="%1."/>
      <w:numFmt w:val="upperLetter"/>
      <w:start w:val="5"/>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upperLetter"/>
      <w:start w:val="6"/>
    </w:lvl>
  </w:abstractNum>
  <w:abstractNum w:abstractNumId="16">
    <w:nsid w:val="4353D0CD"/>
    <w:multiLevelType w:val="hybridMultilevel"/>
    <w:lvl w:ilvl="0">
      <w:lvlJc w:val="left"/>
      <w:lvlText w:val="%1."/>
      <w:numFmt w:val="upperLetter"/>
      <w:start w:val="7"/>
    </w:lvl>
  </w:abstractNum>
  <w:abstractNum w:abstractNumId="17">
    <w:nsid w:val="B03E0C6"/>
    <w:multiLevelType w:val="hybridMultilevel"/>
    <w:lvl w:ilvl="0">
      <w:lvlJc w:val="left"/>
      <w:lvlText w:val="%1."/>
      <w:numFmt w:val="upperLetter"/>
      <w:start w:val="8"/>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upperLetter"/>
      <w:start w:val="9"/>
    </w:lvl>
  </w:abstractNum>
  <w:abstractNum w:abstractNumId="20">
    <w:nsid w:val="71F32454"/>
    <w:multiLevelType w:val="hybridMultilevel"/>
    <w:lvl w:ilvl="0">
      <w:lvlJc w:val="left"/>
      <w:lvlText w:val="%1."/>
      <w:numFmt w:val="upperLetter"/>
      <w:start w:val="10"/>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6" Type="http://schemas.openxmlformats.org/officeDocument/2006/relationships/image" Target="media/image73.png"/><Relationship Id="rId80" Type="http://schemas.openxmlformats.org/officeDocument/2006/relationships/hyperlink" Target="http://www.sec.gov/Archives/edgar/data/1434647/000119312515140072/d911803dex31.htm" TargetMode="External"/><Relationship Id="rId81" Type="http://schemas.openxmlformats.org/officeDocument/2006/relationships/hyperlink" Target="http://www.sec.gov/Archives/edgar/data/0001434647/000143774920025891/ex_218888.htm" TargetMode="External"/><Relationship Id="rId82" Type="http://schemas.openxmlformats.org/officeDocument/2006/relationships/hyperlink" Target="http://www.sec.gov/Archives/edgar/data/0001434647/000143774920015351/ex_194015.htm" TargetMode="External"/><Relationship Id="rId83" Type="http://schemas.openxmlformats.org/officeDocument/2006/relationships/hyperlink" Target="http://www.sec.gov/Archives/edgar/data/1434647/000143774921005785/ex_227827.htm" TargetMode="External"/><Relationship Id="rId84" Type="http://schemas.openxmlformats.org/officeDocument/2006/relationships/hyperlink" Target="http://www.sec.gov/Archives/edgar/data/1434647/000119312522150975/d292447dex101.htm" TargetMode="External"/><Relationship Id="rId85" Type="http://schemas.openxmlformats.org/officeDocument/2006/relationships/hyperlink" Target="http://www.sec.gov/Archives/edgar/data/1434647/000119312522164291/d3322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2022-08-13T16:17:22Z</dcterms:created>
  <dcterms:modified xsi:type="dcterms:W3CDTF">2022-08-13T16:17:22Z</dcterms:modified>
</cp:coreProperties>
</file>